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EFD22" w14:textId="77777777">
      <w:pPr>
        <w:pStyle w:val="aa"/>
      </w:pPr>
      <w:r>
        <w:t>गोपनीयता नीति</w:t>
      </w:r>
    </w:p>
    <w:p w14:paraId="2561CBFB" w14:textId="4CA0E04C">
      <w:pPr>
        <w:rPr>
          <w:u w:val="single"/>
        </w:rPr>
      </w:pPr>
      <w:r>
        <w:rPr>
          <w:b/>
          <w:sz w:val="22"/>
          <w:u w:val="single"/>
        </w:rPr>
        <w:t>अल अयमान · alayman.ae</w:t>
      </w:r>
    </w:p>
    <w:p w14:paraId="33DB32BA" w14:textId="45AA857D">
      <w:r>
        <w:t>प्रभावी तिथि:</w:t>
      </w:r>
      <w:r>
        <w:t xml:space="preserve"> 01 </w:t>
      </w:r>
      <w:r>
        <w:t>अक्टूबर 2026</w:t>
      </w:r>
    </w:p>
    <w:p w14:paraId="7B35DB8A" w14:textId="77777777">
      <w:r>
        <w:t>यह गोपनीयता नीति बताती है कि अल आयमान सर्विसेज़ गेटवे एल.एल.सी-एफज़ेड ("अल आयमान", "हम", "हमें" या "हमारा") व्यक्तिगत डेटा कैसे एकत्र, उपयोग, प्रकट, संग्रहीत और सुरक्षित करता है, जब व्यक्ति अल आयमान वेबसाइट, मोबाइल एप्लिकेशन और संबंधित सेवाओं ("प्लेटफ़ॉर्म") का उपयोग करते हैं।</w:t>
      </w:r>
    </w:p>
    <w:p w14:paraId="5C343265" w14:textId="77777777">
      <w:r>
        <w:t>यह नीति लागू यूएई डेटा संरक्षण कानून के अनुसार, व्यक्तिगत डेटा पर हमारे कार्यप्रणाली का वर्णन करने के लिए है, जिसमें व्यक्तिगत डेटा के संरक्षण पर संघीय अध्यादेश-कानून संख्या 45, 2021 (यूएई पीडीपीएल) शामिल है। जहाँ किसी विशेष प्रसंस्करण गतिविधि के लिए सहमति की आवश्यकता होती है, हम इसकी अनुरोध अलग से या संबंधित प्लेटफ़ॉर्म नियंत्रण के माध्यम से करेंगे।</w:t>
      </w:r>
    </w:p>
    <w:p w14:paraId="597E30DF" w14:textId="77777777">
      <w:pPr>
        <w:pStyle w:val="1"/>
      </w:pPr>
      <w:r>
        <w:t>1. आपका व्यक्तिगत डेटा कौन नियंत्रित करता है</w:t>
      </w:r>
    </w:p>
    <w:tbl>
      <w:tblPr>
        <w:tblStyle w:val="aff0"/>
        <w:tblW w:w="0" w:type="auto"/>
        <w:jc w:val="center"/>
        <w:tblLook w:val="04A0" w:firstRow="1" w:lastRow="0" w:firstColumn="1" w:lastColumn="0" w:noHBand="0" w:noVBand="1"/>
      </w:tblPr>
      <w:tblGrid>
        <w:gridCol w:w="5040"/>
        <w:gridCol w:w="5040"/>
      </w:tblGrid>
      <w:tr w14:paraId="0CF9783E" w14:textId="77777777">
        <w:trPr>
          <w:jc w:val="center"/>
        </w:trPr>
        <w:tc>
          <w:tcPr>
            <w:tcW w:w="5040" w:type="dxa"/>
            <w:shd w:val="clear" w:color="auto" w:fill="D9EAF7"/>
          </w:tcPr>
          <w:p w14:paraId="5925AF3B" w14:textId="77777777">
            <w:r>
              <w:rPr>
                <w:b/>
              </w:rPr>
              <w:t>आइटम</w:t>
            </w:r>
          </w:p>
        </w:tc>
        <w:tc>
          <w:tcPr>
            <w:tcW w:w="5040" w:type="dxa"/>
            <w:shd w:val="clear" w:color="auto" w:fill="D9EAF7"/>
          </w:tcPr>
          <w:p w14:paraId="15C04A92" w14:textId="77777777">
            <w:r>
              <w:rPr>
                <w:b/>
              </w:rPr>
              <w:t>विवरण</w:t>
            </w:r>
          </w:p>
        </w:tc>
      </w:tr>
      <w:tr w14:paraId="264AE0D8" w14:textId="77777777">
        <w:trPr>
          <w:jc w:val="center"/>
        </w:trPr>
        <w:tc>
          <w:tcPr>
            <w:tcW w:w="5040" w:type="dxa"/>
          </w:tcPr>
          <w:p w14:paraId="598694A6" w14:textId="77777777">
            <w:r>
              <w:t>कंट्रोलर</w:t>
            </w:r>
          </w:p>
        </w:tc>
        <w:tc>
          <w:tcPr>
            <w:tcW w:w="5040" w:type="dxa"/>
          </w:tcPr>
          <w:p w14:paraId="1B019201" w14:textId="77777777">
            <w:r>
              <w:t>अल अयमान सर्विसेज़ गेटवे एल.एल.सी-एफज़ेड</w:t>
            </w:r>
          </w:p>
        </w:tc>
      </w:tr>
      <w:tr w14:paraId="71EC1EB0" w14:textId="77777777">
        <w:trPr>
          <w:jc w:val="center"/>
        </w:trPr>
        <w:tc>
          <w:tcPr>
            <w:tcW w:w="5040" w:type="dxa"/>
          </w:tcPr>
          <w:p w14:paraId="21A085F4" w14:textId="77777777">
            <w:r>
              <w:t>पंजीकृत पता</w:t>
            </w:r>
          </w:p>
        </w:tc>
        <w:tc>
          <w:tcPr>
            <w:tcW w:w="5040" w:type="dxa"/>
          </w:tcPr>
          <w:p w14:paraId="263FA00F" w14:textId="77777777">
            <w:r>
              <w:t>मेदान ग्रैंडस्टैंड, छठी मंजिल, मेदान रोड, नाद अल शेबा, दुबई, यू.ए.ई.</w:t>
            </w:r>
          </w:p>
        </w:tc>
      </w:tr>
      <w:tr w14:paraId="39B9D1EF" w14:textId="77777777">
        <w:trPr>
          <w:jc w:val="center"/>
        </w:trPr>
        <w:tc>
          <w:tcPr>
            <w:tcW w:w="5040" w:type="dxa"/>
          </w:tcPr>
          <w:p w14:paraId="0A622B78" w14:textId="77777777">
            <w:r>
              <w:t>प्लेटफ़ॉर्म</w:t>
            </w:r>
          </w:p>
        </w:tc>
        <w:tc>
          <w:tcPr>
            <w:tcW w:w="5040" w:type="dxa"/>
          </w:tcPr>
          <w:p w14:paraId="732A52DD" w14:textId="77777777">
            <w:r>
              <w:t>alayman.ae और अल अयमान मोबाइल एप्लिकेशन</w:t>
            </w:r>
          </w:p>
        </w:tc>
      </w:tr>
      <w:tr w14:paraId="4EBD2102" w14:textId="77777777">
        <w:trPr>
          <w:jc w:val="center"/>
        </w:trPr>
        <w:tc>
          <w:tcPr>
            <w:tcW w:w="5040" w:type="dxa"/>
          </w:tcPr>
          <w:p w14:paraId="28B79C03" w14:textId="77777777">
            <w:r>
              <w:t>गोपनीयता संपर्क</w:t>
            </w:r>
          </w:p>
        </w:tc>
        <w:tc>
          <w:tcPr>
            <w:tcW w:w="5040" w:type="dxa"/>
          </w:tcPr>
          <w:p w14:paraId="26E8DEEE" w14:textId="2CD1EA79">
            <w:r>
              <w:t>support@alayman.ae</w:t>
            </w:r>
          </w:p>
        </w:tc>
      </w:tr>
    </w:tbl>
    <w:p w14:paraId="48A82DAE" w14:textId="77777777">
      <w:r>
        <w:t>अल अयमान आम तौर पर प्लेटफ़ॉर्म को संचालित करने के लिए संसाधित व्यक्तिगत डेटा के लिए नियंत्रक के रूप में कार्य करता है। एक प्रदाता, क्लाइंट के उस व्यक्तिगत डेटा के लिए, जिसे वह एक अंतर्निहित सेवा प्रदान करने के लिए स्वतंत्र रूप से संसाधित करता है, अलग से नियंत्रक के रूप में कार्य कर सकता है।</w:t>
      </w:r>
    </w:p>
    <w:p w14:paraId="76ED51E3" w14:textId="77777777">
      <w:pPr>
        <w:pStyle w:val="1"/>
      </w:pPr>
      <w:r>
        <w:t>२. व्यक्तिगत डेटा जो हम एकत्र करते हैं</w:t>
      </w:r>
    </w:p>
    <w:p w14:paraId="096B5DF7" w14:textId="77777777">
      <w:r>
        <w:t>आप प्लेटफ़ॉर्म का उपयोग कैसे करते हैं, इस पर निर्भर करते हुए, हम व्यक्तिगत डेटा के निम्नलिखित श्रेणियों को एकत्र कर सकते हैं:</w:t>
      </w:r>
    </w:p>
    <w:p w14:paraId="770080CD" w14:textId="77777777">
      <w:pPr>
        <w:pStyle w:val="a0"/>
        <w:ind w:left="317" w:hanging="173"/>
      </w:pPr>
      <w:r>
        <w:t>खाता और पहचान डेटा, जैसे नाम, खाता पहचानकर्ता, जन्म तिथि या आयु की पुष्टि जहाँ आवश्यक हो, प्रोफ़ाइल जानकारी और लॉगिन या प्रमाणीकरण जानकारी;</w:t>
      </w:r>
    </w:p>
    <w:p w14:paraId="695A41E4" w14:textId="77777777">
      <w:pPr>
        <w:pStyle w:val="a0"/>
        <w:ind w:left="317" w:hanging="173"/>
      </w:pPr>
      <w:r>
        <w:t>संपर्क डेटा, जैसे ईमेल पता, टेलीफोन नंबर और संचार वरीयताएँ;</w:t>
      </w:r>
    </w:p>
    <w:p w14:paraId="469EA69D" w14:textId="77777777">
      <w:pPr>
        <w:pStyle w:val="a0"/>
        <w:ind w:left="317" w:hanging="173"/>
      </w:pPr>
      <w:r>
        <w:t>प्रदाता डेटा, जैसे व्यवसाय संबंधी जानकारी, व्यापार लाइसेंस या पेशेवर लाइसेंस की जानकारी, योग्यताएं, अधिकृत प्रतिनिधि का विवरण, सेवा श्रेणियाँ और सत्यापन रिकॉर्ड;</w:t>
      </w:r>
    </w:p>
    <w:p w14:paraId="4F6AA642" w14:textId="77777777">
      <w:pPr>
        <w:pStyle w:val="a0"/>
        <w:ind w:left="317" w:hanging="173"/>
      </w:pPr>
      <w:r>
        <w:t>ऑर्डर और सेवा डेटा, जैसे सेवा अनुरोध, स्थान या सेवा क्षेत्र, प्रतिक्रियाएं, प्रस्तावित कीमतें, समय-निर्धारण, ऑर्डर की स्थिति और ऑर्डर के संबंध में आदान-प्रदान की गई जानकारी;</w:t>
      </w:r>
    </w:p>
    <w:p w14:paraId="497907EB" w14:textId="77777777">
      <w:pPr>
        <w:pStyle w:val="a0"/>
        <w:ind w:left="317" w:hanging="173"/>
      </w:pPr>
      <w:r>
        <w:t>संचार, जिसमें प्लेटफ़ॉर्म चैट संदेश, सहायता अनुरोध, शिकायतें और संबंधित पत्राचार शामिल हैं;</w:t>
      </w:r>
    </w:p>
    <w:p w14:paraId="4331A953" w14:textId="77777777">
      <w:pPr>
        <w:pStyle w:val="a0"/>
        <w:ind w:left="317" w:hanging="173"/>
      </w:pPr>
      <w:r>
        <w:t>प्रदाताओं के लिए भुगतान और वॉलेट डेटा, जैसे वॉलेट लेनदेन, प्लेटफ़ॉर्म शुल्क रिकॉर्ड, भुगतान पुष्टि, रिफंड, निकासी और भुगतान सेवा प्रदाताओं से प्राप्त सीमित भुगतान-संबंधी पहचानकर्ता;</w:t>
      </w:r>
    </w:p>
    <w:p w14:paraId="63399EA8" w14:textId="77777777">
      <w:pPr>
        <w:pStyle w:val="a0"/>
        <w:ind w:left="317" w:hanging="173"/>
      </w:pPr>
      <w:r>
        <w:t>रेटिंग्स, समीक्षाएं, पोर्टफोलियो सामग्री और प्लेटफ़ॉर्म पर सबमिट की गई अन्य सामग्री;</w:t>
      </w:r>
    </w:p>
    <w:p w14:paraId="34887424" w14:textId="77777777">
      <w:pPr>
        <w:pStyle w:val="a0"/>
        <w:ind w:left="317" w:hanging="173"/>
      </w:pPr>
      <w:r>
        <w:lastRenderedPageBreak/>
        <w:t>तकनीकी और सुरक्षा डेटा, जैसे आईपी पता, डिवाइस और ब्राउज़र की जानकारी, ऐप पहचानकर्ता, लॉगिन रिकॉर्ड, सुरक्षा घटनाएँ और निदान संबंधी जानकारी;</w:t>
      </w:r>
    </w:p>
    <w:p w14:paraId="71DC4C23" w14:textId="77777777">
      <w:pPr>
        <w:pStyle w:val="a0"/>
        <w:ind w:left="317" w:hanging="173"/>
      </w:pPr>
      <w:r>
        <w:t>प्लेटफ़ॉर्म की कार्यक्षमता के लिए प्रासंगिक स्थान डेटा। सुविधा के आधार पर, यह उपयोगकर्ता द्वारा प्रदान किया गया या अनुमत अनुमानित स्थान या स्थान की जानकारी हो सकती है; और</w:t>
      </w:r>
    </w:p>
    <w:p w14:paraId="2B61CA5C" w14:textId="77777777">
      <w:pPr>
        <w:pStyle w:val="a0"/>
        <w:ind w:left="317" w:hanging="173"/>
      </w:pPr>
      <w:r>
        <w:t>विपणन और कुकी प्राथमिकता डेटा, जिसमें सहमति, ऑप्ट-आउट और प्राथमिकताएँ शामिल हैं।</w:t>
      </w:r>
    </w:p>
    <w:p w14:paraId="619CF79F" w14:textId="77777777">
      <w:r>
        <w:t>हम संवेदनशील व्यक्तिगत डेटा एकत्र करने का प्रयास नहीं करते हैं, जब तक कि यह किसी विशिष्ट कानूनी प्लेटफ़ॉर्म फ़ंक्शन या अनुपालन उद्देश्य के लिए आवश्यक न हो। यदि ऐसे डेटा की आवश्यकता होती है, तो हम लागू कानून द्वारा आवश्यक सुरक्षा उपाय और कानूनी आधार लागू करेंगे।</w:t>
      </w:r>
    </w:p>
    <w:p w14:paraId="5DD4848C" w14:textId="77777777">
      <w:pPr>
        <w:pStyle w:val="1"/>
      </w:pPr>
      <w:r>
        <w:t>3. हम व्यक्तिगत डेटा कैसे प्राप्त करते हैं</w:t>
      </w:r>
    </w:p>
    <w:p w14:paraId="3CEDDD61" w14:textId="77777777">
      <w:r>
        <w:t>हम सीधे उपयोगकर्ताओं से व्यक्तिगत डेटा एकत्र करते हैं जब वे पंजीकरण करते हैं, प्रोफ़ाइल बनाते हैं, ऑर्डर पोस्ट करते हैं, प्रतिक्रियाएं जमा करते हैं, संवाद करते हैं, प्लेटफ़ॉर्म भुगतान करते हैं, सहायता से संपर्क करते हैं या अन्यथा प्लेटफ़ॉर्म का उपयोग करते हैं।</w:t>
      </w:r>
    </w:p>
    <w:p w14:paraId="0C52A902" w14:textId="77777777">
      <w:r>
        <w:t>हमें सेवा प्रदाताओं से भी सीमित व्यक्तिगत डेटा प्राप्त हो सकता है जो भुगतान, प्रमाणीकरण और संचार, होस्टिंग और बुनियादी ढांचे, मानचित्र या स्थान कार्यक्षमता, विश्लेषण, सुरक्षा, त्रुटि निगरानी, ग्राहक सहायता और प्रदाता सत्यापन का समर्थन करते हैं।</w:t>
      </w:r>
    </w:p>
    <w:p w14:paraId="5A2A723D" w14:textId="77777777">
      <w:r>
        <w:t>जहाँ कोई क्लाइंट और प्रदाता प्लेटफ़ॉर्म के माध्यम से बातचीत करते हैं, तो प्रत्येक व्यक्ति ऑर्डर, शिकायत, समीक्षा या सेवा अनुबंध के संबंध में दूसरे के बारे में जानकारी प्रदान कर सकता है।</w:t>
      </w:r>
    </w:p>
    <w:p w14:paraId="296D7710" w14:textId="77777777">
      <w:pPr>
        <w:pStyle w:val="1"/>
      </w:pPr>
      <w:r>
        <w:t>4. हम व्यक्तिगत डेटा क्यों संसाधित करते हैं</w:t>
      </w:r>
    </w:p>
    <w:tbl>
      <w:tblPr>
        <w:tblStyle w:val="aff0"/>
        <w:tblW w:w="0" w:type="auto"/>
        <w:jc w:val="center"/>
        <w:tblLook w:val="04A0" w:firstRow="1" w:lastRow="0" w:firstColumn="1" w:lastColumn="0" w:noHBand="0" w:noVBand="1"/>
      </w:tblPr>
      <w:tblGrid>
        <w:gridCol w:w="5040"/>
        <w:gridCol w:w="5040"/>
      </w:tblGrid>
      <w:tr w14:paraId="6D7B3C5B" w14:textId="77777777">
        <w:trPr>
          <w:jc w:val="center"/>
        </w:trPr>
        <w:tc>
          <w:tcPr>
            <w:tcW w:w="5040" w:type="dxa"/>
            <w:shd w:val="clear" w:color="auto" w:fill="D9EAF7"/>
          </w:tcPr>
          <w:p w14:paraId="677D5FAD" w14:textId="77777777">
            <w:r>
              <w:rPr>
                <w:b/>
              </w:rPr>
              <w:t>उद्देश्य</w:t>
            </w:r>
          </w:p>
        </w:tc>
        <w:tc>
          <w:tcPr>
            <w:tcW w:w="5040" w:type="dxa"/>
            <w:shd w:val="clear" w:color="auto" w:fill="D9EAF7"/>
          </w:tcPr>
          <w:p w14:paraId="4FCC58E5" w14:textId="77777777">
            <w:r>
              <w:rPr>
                <w:b/>
              </w:rPr>
              <w:t>उदाहरण</w:t>
            </w:r>
          </w:p>
        </w:tc>
      </w:tr>
      <w:tr w14:paraId="474D0F4B" w14:textId="77777777">
        <w:trPr>
          <w:jc w:val="center"/>
        </w:trPr>
        <w:tc>
          <w:tcPr>
            <w:tcW w:w="5040" w:type="dxa"/>
          </w:tcPr>
          <w:p w14:paraId="2BC74FDE" w14:textId="77777777">
            <w:r>
              <w:t>प्लेटफ़ॉर्म प्रदान करना और उसका प्रबंधन करना</w:t>
            </w:r>
          </w:p>
        </w:tc>
        <w:tc>
          <w:tcPr>
            <w:tcW w:w="5040" w:type="dxa"/>
          </w:tcPr>
          <w:p w14:paraId="184FC534" w14:textId="77777777">
            <w:r>
              <w:t>खाते बनाना, प्रोफाइल बनाए रखना, ऑर्डर प्रकाशित करना, प्रतिक्रियाएँ देना, प्रदाताओं के चयन में सहायता करना और ऑर्डर की स्थिति का प्रबंधन करना।</w:t>
            </w:r>
          </w:p>
        </w:tc>
      </w:tr>
      <w:tr w14:paraId="7DDDA83B" w14:textId="77777777">
        <w:trPr>
          <w:jc w:val="center"/>
        </w:trPr>
        <w:tc>
          <w:tcPr>
            <w:tcW w:w="5040" w:type="dxa"/>
          </w:tcPr>
          <w:p w14:paraId="72507AF2" w14:textId="77777777">
            <w:r>
              <w:t>प्रदाता सत्यापन</w:t>
            </w:r>
          </w:p>
        </w:tc>
        <w:tc>
          <w:tcPr>
            <w:tcW w:w="5040" w:type="dxa"/>
          </w:tcPr>
          <w:p w14:paraId="148999CA" w14:textId="77777777">
            <w:r>
              <w:t>फ्रीलांसरों और कंपनियों द्वारा प्रस्तुत पहचान, व्यवसाय, लाइसेंस, योग्यता या अन्य जानकारी की समीक्षा करें।</w:t>
            </w:r>
          </w:p>
        </w:tc>
      </w:tr>
      <w:tr w14:paraId="27972846" w14:textId="77777777">
        <w:trPr>
          <w:jc w:val="center"/>
        </w:trPr>
        <w:tc>
          <w:tcPr>
            <w:tcW w:w="5040" w:type="dxa"/>
          </w:tcPr>
          <w:p w14:paraId="3B8BD512" w14:textId="77777777">
            <w:r>
              <w:t>प्रदाता भुगतान</w:t>
            </w:r>
          </w:p>
        </w:tc>
        <w:tc>
          <w:tcPr>
            <w:tcW w:w="5040" w:type="dxa"/>
          </w:tcPr>
          <w:p w14:paraId="7E79F41E" w14:textId="77777777">
            <w:r>
              <w:t>प्रोवाइडर वॉलेट की कार्यक्षमता संचालित करें, प्रोवाइडर प्लेटफ़ॉर्म शुल्क, रिफंड और पात्र निकासी को संसाधित करें, और संबंधित रिकॉर्ड बनाए रखें। वर्तमान मॉडल के तहत ग्राहकों से प्लेटफ़ॉर्म शुल्क नहीं लिया जाता है।</w:t>
            </w:r>
          </w:p>
        </w:tc>
      </w:tr>
      <w:tr w14:paraId="398CD919" w14:textId="77777777">
        <w:trPr>
          <w:jc w:val="center"/>
        </w:trPr>
        <w:tc>
          <w:tcPr>
            <w:tcW w:w="5040" w:type="dxa"/>
          </w:tcPr>
          <w:p w14:paraId="6CF0C531" w14:textId="77777777">
            <w:r>
              <w:t>संचार</w:t>
            </w:r>
          </w:p>
        </w:tc>
        <w:tc>
          <w:tcPr>
            <w:tcW w:w="5040" w:type="dxa"/>
          </w:tcPr>
          <w:p w14:paraId="6BC9D8BE" w14:textId="77777777">
            <w:r>
              <w:t>ओटीपी/प्रमाणीकरण संदेश, ऑर्डर सूचनाएं, सेवा संदेश, चैट और ग्राहक सहायता प्रदान करें।</w:t>
            </w:r>
          </w:p>
        </w:tc>
      </w:tr>
      <w:tr w14:paraId="657ACA55" w14:textId="77777777">
        <w:trPr>
          <w:jc w:val="center"/>
        </w:trPr>
        <w:tc>
          <w:tcPr>
            <w:tcW w:w="5040" w:type="dxa"/>
          </w:tcPr>
          <w:p w14:paraId="6B717975" w14:textId="77777777">
            <w:r>
              <w:t>सुरक्षा, संरक्षा और धोखाधड़ी की रोकथाम</w:t>
            </w:r>
          </w:p>
        </w:tc>
        <w:tc>
          <w:tcPr>
            <w:tcW w:w="5040" w:type="dxa"/>
          </w:tcPr>
          <w:p w14:paraId="7B4D747D" w14:textId="77777777">
            <w:r>
              <w:t>खातों और प्लेटफ़ॉर्म की सुरक्षा करें, संदिग्ध गतिविधि की जांच करें, दुरुपयोग को रोकें और प्लेटफ़ॉर्म नियमों को लागू करें।</w:t>
            </w:r>
          </w:p>
        </w:tc>
      </w:tr>
      <w:tr w14:paraId="404AB1F9" w14:textId="77777777">
        <w:trPr>
          <w:jc w:val="center"/>
        </w:trPr>
        <w:tc>
          <w:tcPr>
            <w:tcW w:w="5040" w:type="dxa"/>
          </w:tcPr>
          <w:p w14:paraId="32B10083" w14:textId="77777777">
            <w:r>
              <w:t>शिकायतें और विवाद</w:t>
            </w:r>
          </w:p>
        </w:tc>
        <w:tc>
          <w:tcPr>
            <w:tcW w:w="5040" w:type="dxa"/>
          </w:tcPr>
          <w:p w14:paraId="4B6D6F11" w14:textId="77777777">
            <w:r>
              <w:t>शिकायतों की समीक्षा करें, प्रासंगिक साक्ष्य सुरक्षित रखें और जहां उपयुक्त हो, प्लेटफ़ॉर्म-स्तरीय समाधान में सहायता करें।</w:t>
            </w:r>
          </w:p>
        </w:tc>
      </w:tr>
      <w:tr w14:paraId="7074859E" w14:textId="77777777">
        <w:trPr>
          <w:jc w:val="center"/>
        </w:trPr>
        <w:tc>
          <w:tcPr>
            <w:tcW w:w="5040" w:type="dxa"/>
          </w:tcPr>
          <w:p w14:paraId="0C9A6C49" w14:textId="77777777">
            <w:r>
              <w:t>कानूनी और नियामक अनुपालन</w:t>
            </w:r>
          </w:p>
        </w:tc>
        <w:tc>
          <w:tcPr>
            <w:tcW w:w="5040" w:type="dxa"/>
          </w:tcPr>
          <w:p w14:paraId="1B38E34B" w14:textId="77777777">
            <w:r>
              <w:t xml:space="preserve">लागू कानून, कर और लेखांकन आवश्यकताओं, वैध कानूनी अनुरोधों और कानूनी दावों की स्थापना, प्रयोग या रक्षा का </w:t>
            </w:r>
            <w:r>
              <w:lastRenderedPageBreak/>
              <w:t>अनुपालन करें।</w:t>
            </w:r>
          </w:p>
        </w:tc>
      </w:tr>
      <w:tr w14:paraId="46EAAAFD" w14:textId="77777777">
        <w:trPr>
          <w:jc w:val="center"/>
        </w:trPr>
        <w:tc>
          <w:tcPr>
            <w:tcW w:w="5040" w:type="dxa"/>
          </w:tcPr>
          <w:p w14:paraId="4136E247" w14:textId="77777777">
            <w:r>
              <w:lastRenderedPageBreak/>
              <w:t>प्लेटफ़ॉर्म सुधार</w:t>
            </w:r>
          </w:p>
        </w:tc>
        <w:tc>
          <w:tcPr>
            <w:tcW w:w="5040" w:type="dxa"/>
          </w:tcPr>
          <w:p w14:paraId="71939C93" w14:textId="77777777">
            <w:r>
              <w:t>त्रुटियों का निदान करें, प्लेटफ़ॉर्म सुविधाओं के उपयोग को समझें, प्रदर्शन में सुधार करें और जहाँ उपयुक्त हो, समेकित या पहचान-रहित जानकारी का उपयोग करके कार्यक्षमता विकसित करें।</w:t>
            </w:r>
          </w:p>
        </w:tc>
      </w:tr>
      <w:tr w14:paraId="668CCE4F" w14:textId="77777777">
        <w:trPr>
          <w:jc w:val="center"/>
        </w:trPr>
        <w:tc>
          <w:tcPr>
            <w:tcW w:w="5040" w:type="dxa"/>
          </w:tcPr>
          <w:p w14:paraId="33AE81DB" w14:textId="77777777">
            <w:r>
              <w:t>विपणन</w:t>
            </w:r>
          </w:p>
        </w:tc>
        <w:tc>
          <w:tcPr>
            <w:tcW w:w="5040" w:type="dxa"/>
          </w:tcPr>
          <w:p w14:paraId="48B86F26" w14:textId="77777777">
            <w:r>
              <w:t>आवश्यक सहमति या अन्य वैध आधार लागू होने पर प्रचार संचार भेजें या गैर-आवश्यक विपणन प्रौद्योगिकियों का उपयोग करें।</w:t>
            </w:r>
          </w:p>
        </w:tc>
      </w:tr>
    </w:tbl>
    <w:p w14:paraId="42D38DCE" w14:textId="77777777">
      <w:r>
        <w:t>गतिविधि के आधार पर, प्रसंस्करण सहमति पर आधारित हो सकता है या बिना सहमति के भी किया जा सकता है जहाँ लागू यूएई कानून के तहत एक विशिष्ट अपवाद या अन्य कानूनी आधार लागू होता है, जिसमें ऐसे मामले भी शामिल हैं जहाँ अनुबंध निष्पादित करने या पूर्व-अनुबंध संबंधी अनुरोधित कदम उठाने, कानूनी दायित्वों का पालन करने, प्रासंगिक हितों की रक्षा करने, कानूनी दावों को स्थापित करने या उनका बचाव करने, या किसी अन्य मामले में जो कानून द्वारा अनुमत हो, के लिए प्रसंस्करण आवश्यक है। सहमति वापस लेने से उस प्रसंस्करण को रोकना नहीं है जो किसी अन्य लागू आधार पर कानूनी है।</w:t>
      </w:r>
    </w:p>
    <w:p w14:paraId="48F40143" w14:textId="77777777">
      <w:pPr>
        <w:pStyle w:val="1"/>
      </w:pPr>
      <w:r>
        <w:t>5. प्रदाता भुगतान और क्लाइंट भुगतान</w:t>
      </w:r>
    </w:p>
    <w:p w14:paraId="53E1309E" w14:textId="77777777">
      <w:r>
        <w:t>5.1 वर्तमान प्लेटफ़ॉर्म मॉडल के तहत, क्लाइंट अल आयमान को प्लेटफ़ॉर्म शुल्क का भुगतान नहीं करते हैं और उन्हें प्लेटफ़ॉर्म वॉलेट की आवश्यकता नहीं होती है।</w:t>
      </w:r>
    </w:p>
    <w:p w14:paraId="01130FF8" w14:textId="77777777">
      <w:r>
        <w:t>5.2 प्रदाता प्लेटफ़ॉर्म शुल्क का भुगतान करने के लिए वॉलेट या समकक्ष बैलेंस सुविधा का उपयोग कर सकते हैं, जिसमें प्रदाता समझौते में वर्णित प्रतिक्रिया शुल्क और प्रदाता चयन शुल्क शामिल हैं। हम इन कार्यों को संचालित करने, रिफंड या निकासी को संभालने, भुगतान के दुरुपयोग को रोकने और आवश्यक रिकॉर्ड बनाए रखने के लिए आवश्यक रूप से भुगतान और वॉलेट डेटा को संसाधित करते हैं।</w:t>
      </w:r>
    </w:p>
    <w:p w14:paraId="53584627" w14:textId="77777777">
      <w:r>
        <w:t>5.3 भुगतान कार्ड प्रसंस्करण एक बाहरी भुगतान सेवा प्रदाता द्वारा किया जा सकता है। अल अयमान का पूरा भुगतान कार्ड नंबर संग्रहीत करने का इरादा नहीं है, जहाँ कार्ड प्रसंस्करण सीधे उस प्रदाता द्वारा संभाला जाता है।</w:t>
      </w:r>
    </w:p>
    <w:p w14:paraId="7C8834AF" w14:textId="77777777">
      <w:r>
        <w:t>5.4 मौजूदा मॉडल के तहत, अंतर्निहित सेवा के लिए भुगतान सीधे क्लाइंट और प्रदाता के बीच प्लेटफ़ॉर्म के बाहर किया जाता है। अल अयमान उस सेवा मूल्य को केवल इसलिए संसाधित नहीं करता क्योंकि पक्ष प्लेटफ़ॉर्म के माध्यम से मिले थे।</w:t>
      </w:r>
    </w:p>
    <w:p w14:paraId="105A262C" w14:textId="77777777">
      <w:pPr>
        <w:pStyle w:val="1"/>
      </w:pPr>
      <w:r>
        <w:t>6. जब हम व्यक्तिगत डेटा साझा करते हैं</w:t>
      </w:r>
    </w:p>
    <w:p w14:paraId="6D771E8E" w14:textId="77777777">
      <w:r>
        <w:t>हम व्यक्तिगत डेटा का खुलासा केवल तब कर सकते हैं जब इस नीति में वर्णित उद्देश्यों के लिए यह उचित रूप से आवश्यक हो, जिसमें शामिल हैं:</w:t>
      </w:r>
    </w:p>
    <w:p w14:paraId="0DDC0CC0" w14:textId="77777777">
      <w:pPr>
        <w:pStyle w:val="a0"/>
        <w:ind w:left="317" w:hanging="173"/>
      </w:pPr>
      <w:r>
        <w:t>अन्य प्लेटफ़ॉर्म उपयोगकर्ताओं को जहाँ किसी ऑर्डर, प्रतिक्रिया, प्रदाता प्रोफ़ाइल, समीक्षा या सेवा अनुबंध के लिए आवश्यक हो;</w:t>
      </w:r>
    </w:p>
    <w:p w14:paraId="4DE1C916" w14:textId="77777777">
      <w:pPr>
        <w:pStyle w:val="a0"/>
        <w:ind w:left="317" w:hanging="173"/>
      </w:pPr>
      <w:r>
        <w:t>भुगतान प्रसंस्करण, प्रमाणीकरण और संचार, क्लाउड होस्टिंग और बुनियादी ढांचे, मानचित्र या स्थान कार्यक्षमता, विश्लेषण, सुरक्षा और त्रुटि निगरानी, ग्राहक सहायता और सत्यापन का समर्थन करने वाले सेवा प्रदाता;</w:t>
      </w:r>
    </w:p>
    <w:p w14:paraId="69EC38B1" w14:textId="77777777">
      <w:pPr>
        <w:pStyle w:val="a0"/>
        <w:ind w:left="317" w:hanging="173"/>
      </w:pPr>
      <w:r>
        <w:t>पेशेवर सलाहकार, लेखा परीक्षक या बीमाकर्ता जहाँ उचित रूप से आवश्यक हो;</w:t>
      </w:r>
    </w:p>
    <w:p w14:paraId="2647C721" w14:textId="77777777">
      <w:pPr>
        <w:pStyle w:val="a0"/>
        <w:ind w:left="317" w:hanging="173"/>
      </w:pPr>
      <w:r>
        <w:t>सक्षम अदालतें, नियामक, कानून-प्रवर्तन निकाय या अन्य प्राधिकरण जहाँ लागू कानून द्वारा प्रकटीकरण आवश्यक या अनुमत हो; और</w:t>
      </w:r>
    </w:p>
    <w:p w14:paraId="2AAEF4E3" w14:textId="77777777">
      <w:pPr>
        <w:pStyle w:val="a0"/>
        <w:ind w:left="317" w:hanging="173"/>
      </w:pPr>
      <w:r>
        <w:t>एक खरीदार, उत्तराधिकारी या प्रासंगिक सलाहकार, जो प्लेटफ़ॉर्म व्यवसाय के वैध विलय, पुनर्गठन, वित्तपोषण, अधिग्रहण या हस्तांतरण के संबंध में हो, और जो उचित गोपनीयता और कानूनी सुरक्षा उपायों के अधीन हो।</w:t>
      </w:r>
    </w:p>
    <w:p w14:paraId="14F56F46" w14:textId="77777777">
      <w:r>
        <w:t>हम व्यक्तिगत डेटा को एक स्वतंत्र वाणिज्यिक उत्पाद के रूप में नहीं बेचते हैं। सेवा प्रदाताओं से अपेक्षा की जाती है कि वे व्यक्तिगत डेटा को केवल अधिकृत उद्देश्यों के लिए और उचित संविदात्मक और सुरक्षा आवश्यकताओं के अधीन संसाधित करें।</w:t>
      </w:r>
    </w:p>
    <w:p w14:paraId="26BA9CDC" w14:textId="77777777">
      <w:pPr>
        <w:pStyle w:val="1"/>
      </w:pPr>
      <w:r>
        <w:lastRenderedPageBreak/>
        <w:t>7. अंतर्राष्ट्रीय हस्तांतरण</w:t>
      </w:r>
    </w:p>
    <w:p w14:paraId="602061E3" w14:textId="77777777">
      <w:r>
        <w:t>प्लेटफ़ॉर्म को संचालित करने के लिए उपयोग किए जाने वाले कुछ सेवा प्रदाता या तकनीकी सिस्टम यूएई के बाहर व्यक्तिगत डेटा को संसाधित या संग्रहीत कर सकते हैं। जहाँ व्यक्तिगत डेटा का अंतरराष्ट्रीय स्तर पर हस्तांतरण किया जाता है, वहाँ अल आयमान गंतव्य, प्राप्तकर्ता और प्रसंस्करण की प्रकृति को ध्यान में रखते हुए, लागू यूएई डेटा संरक्षण कानून द्वारा अनुमत एक हस्तांतरण तंत्र और सुरक्षा उपायों का उपयोग करेगा।</w:t>
      </w:r>
    </w:p>
    <w:p w14:paraId="5558239F" w14:textId="77777777">
      <w:r>
        <w:t>जहाँ आवश्यक हो, इसमें उन अधिकारक्षेत्रों को हस्तांतरण शामिल हो सकता है जिन्हें पर्याप्त स्तर की सुरक्षा प्रदान करने वाले के रूप में मान्यता प्राप्त है या यूएई पीडीपीएल के तहत अनुमत अन्य संविदात्मक, संगठनात्मक या कानूनी सुरक्षा उपाय। हम यह प्रतिनिधित्व नहीं करते कि कोई विदेशी संविदात्मक तंत्र केवल इसलिए यूएई हस्तांतरण आवश्यकताओं को स्वचालित रूप से पूरा करता है क्योंकि इसका उपयोग किसी अन्य देश के गोपनीयता कानून के तहत किया जाता है।</w:t>
      </w:r>
    </w:p>
    <w:p w14:paraId="315B62A7" w14:textId="77777777">
      <w:pPr>
        <w:pStyle w:val="1"/>
      </w:pPr>
      <w:r>
        <w:t>8. डेटा प्रतिधारण</w:t>
      </w:r>
    </w:p>
    <w:p w14:paraId="19E47CFB" w14:textId="77777777">
      <w:r>
        <w:t>हम व्यक्तिगत डेटा को केवल उतने ही समय तक बनाए रखते हैं, जितना कि उसे एकत्र करने के उद्देश्य के लिए और लागू कानूनी, लेखा, सुरक्षा, विवाद-समाधान और अभिलेख-रखरखाव आवश्यकताओं के लिए उचित रूप से आवश्यक है।</w:t>
      </w:r>
    </w:p>
    <w:tbl>
      <w:tblPr>
        <w:tblStyle w:val="aff0"/>
        <w:tblW w:w="0" w:type="auto"/>
        <w:jc w:val="center"/>
        <w:tblLook w:val="04A0" w:firstRow="1" w:lastRow="0" w:firstColumn="1" w:lastColumn="0" w:noHBand="0" w:noVBand="1"/>
      </w:tblPr>
      <w:tblGrid>
        <w:gridCol w:w="5040"/>
        <w:gridCol w:w="5040"/>
      </w:tblGrid>
      <w:tr w14:paraId="555586D4" w14:textId="77777777">
        <w:trPr>
          <w:jc w:val="center"/>
        </w:trPr>
        <w:tc>
          <w:tcPr>
            <w:tcW w:w="5040" w:type="dxa"/>
            <w:shd w:val="clear" w:color="auto" w:fill="D9EAF7"/>
          </w:tcPr>
          <w:p w14:paraId="6D9B7AA1" w14:textId="77777777">
            <w:r>
              <w:rPr>
                <w:b/>
              </w:rPr>
              <w:t>डेटा का प्रकार</w:t>
            </w:r>
          </w:p>
        </w:tc>
        <w:tc>
          <w:tcPr>
            <w:tcW w:w="5040" w:type="dxa"/>
            <w:shd w:val="clear" w:color="auto" w:fill="D9EAF7"/>
          </w:tcPr>
          <w:p w14:paraId="00BC5D57" w14:textId="77777777">
            <w:r>
              <w:rPr>
                <w:b/>
              </w:rPr>
              <w:t>सामान्य दृष्टिकोण</w:t>
            </w:r>
          </w:p>
        </w:tc>
      </w:tr>
      <w:tr w14:paraId="739B3040" w14:textId="77777777">
        <w:trPr>
          <w:jc w:val="center"/>
        </w:trPr>
        <w:tc>
          <w:tcPr>
            <w:tcW w:w="5040" w:type="dxa"/>
          </w:tcPr>
          <w:p w14:paraId="4D226402" w14:textId="77777777">
            <w:r>
              <w:t>खाता और प्रोफ़ाइल डेटा</w:t>
            </w:r>
          </w:p>
        </w:tc>
        <w:tc>
          <w:tcPr>
            <w:tcW w:w="5040" w:type="dxa"/>
          </w:tcPr>
          <w:p w14:paraId="3B6382BC" w14:textId="77777777">
            <w:r>
              <w:t>खाता सक्रिय रहने तक और उसके बाद कानूनी, सुरक्षा और विवाद निपटान उद्देश्यों के लिए उचित रूप से आवश्यक अवधि के लिए रखा जाता है।</w:t>
            </w:r>
          </w:p>
        </w:tc>
      </w:tr>
      <w:tr w14:paraId="27F7694D" w14:textId="77777777">
        <w:trPr>
          <w:jc w:val="center"/>
        </w:trPr>
        <w:tc>
          <w:tcPr>
            <w:tcW w:w="5040" w:type="dxa"/>
          </w:tcPr>
          <w:p w14:paraId="2396EBCE" w14:textId="77777777">
            <w:r>
              <w:t>ऑर्डर, प्रतिक्रियाएँ और सेवा अनुबंध रिकॉर्ड</w:t>
            </w:r>
          </w:p>
        </w:tc>
        <w:tc>
          <w:tcPr>
            <w:tcW w:w="5040" w:type="dxa"/>
          </w:tcPr>
          <w:p w14:paraId="6FE10E88" w14:textId="77777777">
            <w:r>
              <w:t>प्लेटफ़ॉर्म के प्रशासन, विवादों के निपटान और कानूनी दावों को स्थापित करने या उनका बचाव करने के लिए आवश्यक उचित अवधि तक रखा जाता है।</w:t>
            </w:r>
          </w:p>
        </w:tc>
      </w:tr>
      <w:tr w14:paraId="63189AEB" w14:textId="77777777">
        <w:trPr>
          <w:jc w:val="center"/>
        </w:trPr>
        <w:tc>
          <w:tcPr>
            <w:tcW w:w="5040" w:type="dxa"/>
          </w:tcPr>
          <w:p w14:paraId="598F660B" w14:textId="77777777">
            <w:r>
              <w:t>चैट और सहायता संचार</w:t>
            </w:r>
          </w:p>
        </w:tc>
        <w:tc>
          <w:tcPr>
            <w:tcW w:w="5040" w:type="dxa"/>
          </w:tcPr>
          <w:p w14:paraId="6D4AA13D" w14:textId="77777777">
            <w:r>
              <w:t>परिचालन, सुरक्षा, शिकायत और विवाद उद्देश्यों के लिए रखा जाता है, और सक्रिय जांच या कानूनी दावे के लिए आवश्यक होने पर अधिक समय तक रखा जाता है।</w:t>
            </w:r>
          </w:p>
        </w:tc>
      </w:tr>
      <w:tr w14:paraId="320382DF" w14:textId="77777777">
        <w:trPr>
          <w:jc w:val="center"/>
        </w:trPr>
        <w:tc>
          <w:tcPr>
            <w:tcW w:w="5040" w:type="dxa"/>
          </w:tcPr>
          <w:p w14:paraId="41FC09A7" w14:textId="77777777">
            <w:r>
              <w:t>प्रदाता सत्यापन रिकॉर्ड</w:t>
            </w:r>
          </w:p>
        </w:tc>
        <w:tc>
          <w:tcPr>
            <w:tcW w:w="5040" w:type="dxa"/>
          </w:tcPr>
          <w:p w14:paraId="7D0B352A" w14:textId="77777777">
            <w:r>
              <w:t>प्रदाता पात्रता के लिए प्रासंगिक रहने तक और उसके बाद अनुपालन, विवादों या सत्यापन इतिहास के लिए जहाँ उचित रूप से आवश्यक हो, तब तक रखे जाते हैं।</w:t>
            </w:r>
          </w:p>
        </w:tc>
      </w:tr>
      <w:tr w14:paraId="2B5B79D8" w14:textId="77777777">
        <w:trPr>
          <w:jc w:val="center"/>
        </w:trPr>
        <w:tc>
          <w:tcPr>
            <w:tcW w:w="5040" w:type="dxa"/>
          </w:tcPr>
          <w:p w14:paraId="4BC06D2B" w14:textId="77777777">
            <w:r>
              <w:t>प्रदाता भुगतान और वित्तीय रिकॉर्ड</w:t>
            </w:r>
          </w:p>
        </w:tc>
        <w:tc>
          <w:tcPr>
            <w:tcW w:w="5040" w:type="dxa"/>
          </w:tcPr>
          <w:p w14:paraId="3028E164" w14:textId="77777777">
            <w:r>
              <w:t>लागू होने वाले कर, लेखांकन, भुगतान और कानूनी दायित्वों द्वारा आवश्यक अवधि के लिए रखा जाता है।</w:t>
            </w:r>
          </w:p>
        </w:tc>
      </w:tr>
      <w:tr w14:paraId="2F9FCEFB" w14:textId="77777777">
        <w:trPr>
          <w:jc w:val="center"/>
        </w:trPr>
        <w:tc>
          <w:tcPr>
            <w:tcW w:w="5040" w:type="dxa"/>
          </w:tcPr>
          <w:p w14:paraId="6F5E1601" w14:textId="77777777">
            <w:r>
              <w:t>सुरक्षा और तकनीकी लॉग</w:t>
            </w:r>
          </w:p>
        </w:tc>
        <w:tc>
          <w:tcPr>
            <w:tcW w:w="5040" w:type="dxa"/>
          </w:tcPr>
          <w:p w14:paraId="077F0998" w14:textId="77777777">
            <w:r>
              <w:t>सुरक्षा, धोखाधड़ी की रोकथाम और जांच की आवश्यकताओं के लिए उपयुक्त अवधि के लिए रखा जाता है।</w:t>
            </w:r>
          </w:p>
        </w:tc>
      </w:tr>
      <w:tr w14:paraId="0A94F372" w14:textId="77777777">
        <w:trPr>
          <w:jc w:val="center"/>
        </w:trPr>
        <w:tc>
          <w:tcPr>
            <w:tcW w:w="5040" w:type="dxa"/>
          </w:tcPr>
          <w:p w14:paraId="20D446F5" w14:textId="77777777">
            <w:r>
              <w:t>विपणन प्राथमिकताएँ</w:t>
            </w:r>
          </w:p>
        </w:tc>
        <w:tc>
          <w:tcPr>
            <w:tcW w:w="5040" w:type="dxa"/>
          </w:tcPr>
          <w:p w14:paraId="0AB2DB55" w14:textId="77777777">
            <w:r>
              <w:t>उपयोगकर्ता की सहमति या ऑप्ट-आउट विकल्पों का सम्मान करने के लिए आवश्यक रूप से रखा जाता है।</w:t>
            </w:r>
          </w:p>
        </w:tc>
      </w:tr>
      <w:tr w14:paraId="22308024" w14:textId="77777777">
        <w:trPr>
          <w:jc w:val="center"/>
        </w:trPr>
        <w:tc>
          <w:tcPr>
            <w:tcW w:w="5040" w:type="dxa"/>
          </w:tcPr>
          <w:p w14:paraId="0F4C0C4C" w14:textId="77777777">
            <w:r>
              <w:t>कुकीज़ और समान तकनीकें</w:t>
            </w:r>
          </w:p>
        </w:tc>
        <w:tc>
          <w:tcPr>
            <w:tcW w:w="5040" w:type="dxa"/>
          </w:tcPr>
          <w:p w14:paraId="738075B4" w14:textId="77777777">
            <w:r>
              <w:t>कुकीज़ नीति और लागू सहमति सेटिंग्स में वर्णित अनुसार रखा जाता है।</w:t>
            </w:r>
          </w:p>
        </w:tc>
      </w:tr>
    </w:tbl>
    <w:p w14:paraId="39B0A165" w14:textId="77777777">
      <w:r>
        <w:lastRenderedPageBreak/>
        <w:t>जब व्यक्तिगत डेटा अब आवश्यक नहीं रहता है, तो हम इसे हटा देंगे, इसे गुमनाम कर देंगे, या जहां कानूनी कारण से हटाने में देरी करनी हो वहां इसे सुरक्षित रूप से अलग रखेंगे।</w:t>
      </w:r>
    </w:p>
    <w:p w14:paraId="482C81FF" w14:textId="77777777">
      <w:pPr>
        <w:pStyle w:val="1"/>
      </w:pPr>
      <w:r>
        <w:t>9. सुरक्षा</w:t>
      </w:r>
    </w:p>
    <w:p w14:paraId="6E83F976" w14:textId="77777777">
      <w:r>
        <w:t>अल अयमान व्यक्तिगत डेटा की प्रकृति और इसमें शामिल जोखिमों के अनुरूप उचित तकनीकी और संगठनात्मक उपाय उपयोग करता है। इनमें एक्सेस कंट्रोल, प्रमाणीकरण उपाय, जहां उपयुक्त हो एन्क्रिप्शन, लॉगिंग, बैकअप, सुरक्षा निगरानी और कर्मियों की पहुंच पर प्रतिबंध शामिल हो सकते हैं।</w:t>
      </w:r>
    </w:p>
    <w:p w14:paraId="58061E4D" w14:textId="77777777">
      <w:r>
        <w:t>कोई भी ऑनलाइन सेवा पूर्ण सुरक्षा की गारंटी नहीं दे सकती। उपयोगकर्ता खाता क्रेडेंशियल को गोपनीय रखने के लिए जिम्मेदार हैं और यदि उन्हें अनधिकृत खाता पहुँच का संदेह है तो उन्हें तुरंत अल आयमान को सूचित करना चाहिए।</w:t>
      </w:r>
    </w:p>
    <w:p w14:paraId="7DC5422A" w14:textId="77777777">
      <w:r>
        <w:t>जहाँ व्यक्तिगत डेटा का उल्लंघन होता है, अल अयमान उसका आकलन और समाधान करेगा और लागू यूएई कानून द्वारा आवश्यक कोई भी सूचना देगा।</w:t>
      </w:r>
    </w:p>
    <w:p w14:paraId="13884F6E" w14:textId="77777777">
      <w:pPr>
        <w:pStyle w:val="1"/>
      </w:pPr>
      <w:r>
        <w:t>10. प्लेटफ़ॉर्म चैट और मध्यस्थता</w:t>
      </w:r>
    </w:p>
    <w:p w14:paraId="6F5BE056" w14:textId="77777777">
      <w:r>
        <w:t>10.1 प्लेटफ़ॉर्म चैट का उद्देश्य ऑर्डर और सेवा समझौतों से संबंधित संचार को सुविधाजनक बनाना है। संदेश पहुँचाने, सहायता प्रदान करने, शिकायतों की जाँच करने, प्लेटफ़ॉर्म के नियमों को लागू करने, उपयोगकर्ताओं की सुरक्षा करने और धोखाधड़ी या शुल्क के दुरुपयोग को रोकने के लिए चैट सामग्री को संसाधित किया जा सकता है।</w:t>
      </w:r>
    </w:p>
    <w:p w14:paraId="32BA37FB" w14:textId="77777777">
      <w:r>
        <w:t>10.2 अल अयमान स्पैम, धोखाधड़ी, निषिद्ध संपर्क साझाकरण, दुरुपयोग या अन्य नियम उल्लंघनों के संकेतों की पहचान करने के लिए आनुपातिक स्वचालित उपकरणों का उपयोग कर सकता है। अधिकृत कर्मचारी प्रासंगिक संचारों की समीक्षा कर सकते हैं जहाँ कोई संदेश ध्वजांकित (flagged) हो, कोई उपयोगकर्ता शिकायत करे, कोई सुरक्षा या अनुपालन संबंधी समस्या उत्पन्न हो, या अन्यथा समीक्षा उचित रूप से आवश्यक और कानूनी हो।</w:t>
      </w:r>
    </w:p>
    <w:p w14:paraId="2D0271E0" w14:textId="77777777">
      <w:r>
        <w:t>10.3 हम यह नहीं कहते कि हर संदेश को किसी व्यक्ति द्वारा पढ़ा जाता है। चैट सामग्री तक पहुंच परिचालन संबंधी आवश्यकता और लागू पहुंच नियंत्रणों के अनुसार सीमित है।</w:t>
      </w:r>
    </w:p>
    <w:p w14:paraId="51D7621C" w14:textId="77777777">
      <w:r>
        <w:t>10.4 चैट रिकॉर्ड तब तक रखे जा सकते हैं जब तक कि शिकायत निपटान, सुरक्षा, धोखाधड़ी की रोकथाम, विवाद के सबूत और कानूनी दायित्वों के लिए उचित रूप से आवश्यक हो।</w:t>
      </w:r>
    </w:p>
    <w:p w14:paraId="4EDBADCE" w14:textId="77777777">
      <w:pPr>
        <w:pStyle w:val="1"/>
      </w:pPr>
      <w:r>
        <w:t>11. स्वचालित प्रसंस्करण</w:t>
      </w:r>
    </w:p>
    <w:p w14:paraId="5CA7854F" w14:textId="77777777">
      <w:r>
        <w:t>अल आयमान प्रासंगिक प्रदाताओं के मिलान या रैंकिंग, सुरक्षा निगरानी, धोखाधड़ी का पता लगाने और तकनीकी मध्यस्थता जैसे कार्यों का समर्थन करने के लिए स्वचालित प्रसंस्करण का उपयोग कर सकता है। एक क्लाइंट प्रदाता चुनने के लिए जिम्मेदार रहता है।</w:t>
      </w:r>
    </w:p>
    <w:p w14:paraId="21B220DC" w14:textId="1F9841C6">
      <w:r>
        <w:t>जहाँ लागू हो, यूएई कानून एक व्यक्ति को केवल स्वचालित प्रसंस्करण पर आधारित निर्णय के संबंध में अधिकार देता है, जो महत्वपूर्ण प्रभाव पैदा करता है, अल अयमान उस कानून द्वारा आवश्यक अधिकार और सुरक्षा उपाय प्रदान करेगा। उपयोगकर्ता महत्वपूर्ण स्वचालित निर्णयों के बारे में support@alayman.ae पर संपर्क कर सकते हैं।</w:t>
      </w:r>
    </w:p>
    <w:p w14:paraId="49A366BF" w14:textId="77777777">
      <w:pPr>
        <w:pStyle w:val="1"/>
      </w:pPr>
      <w:r>
        <w:t>12. आपके डेटा संरक्षण अधिकार</w:t>
      </w:r>
    </w:p>
    <w:p w14:paraId="1CA98A86" w14:textId="77777777">
      <w:r>
        <w:t xml:space="preserve">लागू यूएई कानून में निहित शर्तों और अपवादों के अधीन, व्यक्तियों को अपने व्यक्तिगत डेटा के संबंध में अधिकार हो सकते हैं, जिसमें प्रसंस्करण और व्यक्तिगत डेटा तक पहुंचने की जानकारी प्राप्त करने का अधिकार, सुधार का अनुरोध करने का अधिकार, जहां लागू हो वहां हटाने का अनुरोध करने का अधिकार, कुछ प्रसंस्करण पर प्रतिबंध लगाने या आपत्ति करने का अधिकार, जहां लागू हो वहां डेटा के हस्तांतरण </w:t>
      </w:r>
      <w:r>
        <w:lastRenderedPageBreak/>
        <w:t>का अनुरोध करने का अधिकार, जहां प्रसंस्करण सहमति पर आधारित है वहां सहमति वापस लेने का अधिकार, और व्यक्तिगत डेटा के प्रबंधन के संबंध में शिकायत दर्ज करने का अधिकार शामिल है।</w:t>
      </w:r>
    </w:p>
    <w:p w14:paraId="2F34080E" w14:textId="2827E4BD">
      <w:r>
        <w:t>अनुरोध support@alayman.ae पर प्रस्तुत किए जा सकते हैं। हम किसी अनुरोध पर कार्रवाई करने से पहले पहचान सत्यापित करने के लिए उचित जानकारी का अनुरोध कर सकते हैं। हम लागू कानून द्वारा आवश्यक अवधि के भीतर जवाब देंगे और जहां कोई अनुरोध कानूनी रूप से पूरा नहीं किया जा सकता है, वहां स्पष्टीकरण देंगे।</w:t>
      </w:r>
    </w:p>
    <w:p w14:paraId="7A25BE99" w14:textId="77777777">
      <w:r>
        <w:t>सहमति वापस लेने से, सहमति वापस लेने से पहले कानूनी रूप से की गई प्रक्रिया पर कोई प्रभाव नहीं पड़ता है और यह किसी अन्य कानूनी आधार पर आधारित प्रक्रिया को रोकता नहीं है।</w:t>
      </w:r>
    </w:p>
    <w:p w14:paraId="150DF8A8" w14:textId="77777777">
      <w:pPr>
        <w:pStyle w:val="1"/>
      </w:pPr>
      <w:r>
        <w:t>13. बच्चे</w:t>
      </w:r>
    </w:p>
    <w:p w14:paraId="54090F49" w14:textId="77777777">
      <w:r>
        <w:t>प्लेटफ़ॉर्म की पंजीकृत लेन-देन संबंधी सेवाएँ 18 वर्ष या उससे अधिक आयु के व्यक्तियों के लिए हैं। हम जानबूझकर 18 वर्ष से कम आयु के किसी व्यक्ति को क्लाइंट या प्रदाता के रूप में पंजीकरण करने की अनुमति नहीं देते हैं। यदि हमें पता चलता है कि लागू आवश्यकताओं के विपरीत किसी बच्चे से व्यक्तिगत डेटा एकत्र किया गया है, तो हम उचित कदम उठाएँगे, जिसमें संबंधित खाते और डेटा को हटाना या प्रतिबंधित करना शामिल हो सकता है।</w:t>
      </w:r>
    </w:p>
    <w:p w14:paraId="7A9C3D95" w14:textId="77777777">
      <w:pPr>
        <w:pStyle w:val="1"/>
      </w:pPr>
      <w:r>
        <w:t>14. कुकीज़ और समान तकनीकें</w:t>
      </w:r>
    </w:p>
    <w:p w14:paraId="56F363B4" w14:textId="77777777">
      <w:r>
        <w:t>प्लेटफ़ॉर्म आवश्यक कार्यक्षमता, सुरक्षा, प्राथमिकताओं, विश्लेषण और, जहाँ सक्षम हो, विपणन के लिए कुकीज़, स्थानीय भंडारण, मोबाइल SDK और समान तकनीकों का उपयोग कर सकता है। गैर-आवश्यक तकनीकों को लागू सहमति आवश्यकताओं के अनुसार संभाला जाएगा। अधिक जानकारी कुकीज़ नीति और संबंधित प्राथमिकता नियंत्रणों में प्रदान की गई है।</w:t>
      </w:r>
    </w:p>
    <w:p w14:paraId="5244E3DB" w14:textId="77777777">
      <w:pPr>
        <w:pStyle w:val="1"/>
      </w:pPr>
      <w:r>
        <w:t>15. इस गोपनीयता नीति में परिवर्तन</w:t>
      </w:r>
    </w:p>
    <w:p w14:paraId="37E61EE0" w14:textId="77777777">
      <w:r>
        <w:t>हम कानून, प्लेटफ़ॉर्म की कार्यक्षमता, सेवा प्रदाताओं या हमारी प्रसंस्करण प्रथाओं में हुए परिवर्तनों को दर्शाने के लिए इस नीति को अपडेट कर सकते हैं। वर्तमान संस्करण और प्रभावी तिथि प्लेटफ़ॉर्म के माध्यम से उपलब्ध कराई जाएगी।</w:t>
      </w:r>
    </w:p>
    <w:p w14:paraId="123B5ACF" w14:textId="77777777">
      <w:r>
        <w:t>जहाँ कोई परिवर्तन उपयोगकर्ताओं को महत्वपूर्ण रूप से प्रभावित करता है, हम एक उपयुक्त सूचना प्रदान करेंगे। जहाँ किसी नई प्रसंस्करण गतिविधि के लिए सहमति की आवश्यकता होती है, हम उस पर निर्भर होने से पहले आवश्यक सहमति प्राप्त करेंगे।</w:t>
      </w:r>
    </w:p>
    <w:p w14:paraId="7D20B38A" w14:textId="1CEA2F60">
      <w:pPr>
        <w:pStyle w:val="1"/>
      </w:pPr>
      <w:r>
        <w:t>16. सामान्य</w:t>
      </w:r>
    </w:p>
    <w:p w14:paraId="6445A9B3" w14:textId="10BA3E3B">
      <w:r>
        <w:t>यह नीति अंग्रेज़ी में तैयार की गई है और सुविधा तथा सुलभता के लिए अन्य भाषाओं में अनुवादित की जा सकती है। जहाँ तक लागू कानून द्वारा अनुमत है, अनुवादों के बीच के मतभेदों की व्याख्या करने के लिए अंग्रेज़ी संस्करण का उपयोग किया जाएगा। यह किसी भी अनिवार्य अरबी-भाषा की आवश्यकता या किसी सक्षम यूएई अदालत या प्राधिकरण की आवश्यकताओं को अधिलेखित नहीं करता है।</w:t>
      </w:r>
    </w:p>
    <w:p w14:paraId="0A176C1A" w14:textId="2245D930">
      <w:pPr>
        <w:pStyle w:val="1"/>
      </w:pPr>
      <w:r>
        <w:t>17</w:t>
      </w:r>
      <w:r>
        <w:t>. संपर्क और शिकायतें</w:t>
      </w:r>
    </w:p>
    <w:p w14:paraId="3F9ADE10" w14:textId="77777777">
      <w:r>
        <w:t>गोपनीयता संबंधी प्रश्न, अनुरोध और शिकायतें निम्नलिखित पते पर भेजी जा सकती हैं:</w:t>
      </w:r>
    </w:p>
    <w:p w14:paraId="3345E3A1" w14:textId="77777777">
      <w:r>
        <w:t>अल अयमान सर्विसेज़ गेटवे एल.एल.सी-एफज़ेड</w:t>
      </w:r>
    </w:p>
    <w:p w14:paraId="1B3A6CD6" w14:textId="77777777">
      <w:r>
        <w:t>मेदान ग्रैंडस्टैंड, छठी मंजिल, मेदान रोड, नाद अल शेबा, दुबई, यू.ए.ई.</w:t>
      </w:r>
    </w:p>
    <w:p w14:paraId="2B6DFCF3" w14:textId="32AF8502">
      <w:r>
        <w:t>सहायता: support@alayman.ae</w:t>
      </w:r>
    </w:p>
    <w:p w14:paraId="358DBA63" w14:textId="77777777">
      <w:r>
        <w:lastRenderedPageBreak/>
        <w:t>व्यक्तियों को लागू कानून के अनुसार सक्षम यूएई डेटा संरक्षण प्राधिकरण के पास शिकायत दर्ज करने का अधिकार भी हो सकता है। हम उपयोगकर्ताओं को पहले अल आयमान से संपर्क करने के लिए प्रोत्साहित करते हैं ताकि हमें उस चिंता को दूर करने का अवसर मिल सके।</w:t>
      </w:r>
    </w:p>
    <w:p w14:paraId="19344614" w14:textId="27A2723B">
      <w:pPr>
        <w:jc w:val="center"/>
      </w:pPr>
    </w:p>
    <w:sectPr>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2DF47" w14:textId="77777777">
      <w:pPr>
        <w:spacing w:after="0" w:line="240" w:lineRule="auto"/>
      </w:pPr>
      <w:r>
        <w:separator/>
      </w:r>
    </w:p>
  </w:endnote>
  <w:endnote w:type="continuationSeparator" w:id="0">
    <w:p w14:paraId="568F418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A7A8" w14:textId="0C1E48F9">
    <w:pPr>
      <w:pStyle w:val="a7"/>
      <w:jc w:val="center"/>
    </w:pPr>
    <w:proofErr w:type="spellStart"/>
    <w:r>
      <w:rPr>
        <w:color w:val="6E6E6E"/>
        <w:sz w:val="16"/>
      </w:rPr>
      <w:t>गोपनीयता</w:t>
    </w:r>
    <w:proofErr w:type="spellEnd"/>
    <w:r>
      <w:rPr>
        <w:color w:val="6E6E6E"/>
        <w:sz w:val="16"/>
      </w:rPr>
      <w:t xml:space="preserve"> </w:t>
    </w:r>
    <w:proofErr w:type="spellStart"/>
    <w:r>
      <w:rPr>
        <w:color w:val="6E6E6E"/>
        <w:sz w:val="16"/>
      </w:rPr>
      <w:t>नीति</w:t>
    </w:r>
    <w:proofErr w:type="spellEnd"/>
    <w:r>
      <w:rPr>
        <w:color w:val="6E6E6E"/>
        <w:sz w:val="16"/>
      </w:rPr>
      <w:t xml:space="preserve"> ·</w:t>
    </w:r>
    <w:r>
      <w:rPr>
        <w:color w:val="6E6E6E"/>
        <w:sz w:val="16"/>
      </w:rPr>
      <w:t xml:space="preserve"> 01 </w:t>
    </w:r>
    <w:proofErr w:type="spellStart"/>
    <w:r>
      <w:rPr>
        <w:color w:val="6E6E6E"/>
        <w:sz w:val="16"/>
      </w:rPr>
      <w:t>अक्टूबर</w:t>
    </w:r>
    <w:proofErr w:type="spellEnd"/>
    <w:r>
      <w:rPr>
        <w:color w:val="6E6E6E"/>
        <w:sz w:val="16"/>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C5A64" w14:textId="77777777">
      <w:pPr>
        <w:spacing w:after="0" w:line="240" w:lineRule="auto"/>
      </w:pPr>
      <w:r>
        <w:separator/>
      </w:r>
    </w:p>
  </w:footnote>
  <w:footnote w:type="continuationSeparator" w:id="0">
    <w:p w14:paraId="4540E97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EC2D" w14:textId="77777777">
    <w:pPr>
      <w:pStyle w:val="a5"/>
      <w:jc w:val="right"/>
    </w:pPr>
    <w:r>
      <w:rPr>
        <w:color w:val="6E6E6E"/>
        <w:sz w:val="16"/>
      </w:rPr>
      <w:t>AL AYMAN SERVICES GATEWAY L.L.C-FZ</w:t>
    </w:r>
  </w:p>
  <w:p w14:paraId="5C47A3AD" w14:textId="77BBB62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84897153">
    <w:abstractNumId w:val="8"/>
  </w:num>
  <w:num w:numId="2" w16cid:durableId="1575310811">
    <w:abstractNumId w:val="6"/>
  </w:num>
  <w:num w:numId="3" w16cid:durableId="2083602716">
    <w:abstractNumId w:val="5"/>
  </w:num>
  <w:num w:numId="4" w16cid:durableId="552500766">
    <w:abstractNumId w:val="4"/>
  </w:num>
  <w:num w:numId="5" w16cid:durableId="1291016124">
    <w:abstractNumId w:val="7"/>
  </w:num>
  <w:num w:numId="6" w16cid:durableId="46531990">
    <w:abstractNumId w:val="3"/>
  </w:num>
  <w:num w:numId="7" w16cid:durableId="1433355010">
    <w:abstractNumId w:val="2"/>
  </w:num>
  <w:num w:numId="8" w16cid:durableId="1659770221">
    <w:abstractNumId w:val="1"/>
  </w:num>
  <w:num w:numId="9" w16cid:durableId="546379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9D0A15"/>
  <w14:defaultImageDpi w14:val="300"/>
  <w15:docId w15:val="{8772410D-BF5D-1F48-8270-BC1B0034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9" w:lineRule="auto"/>
    </w:pPr>
    <w:rPr>
      <w:rFonts w:ascii="Arial" w:hAnsi="Arial"/>
      <w:color w:val="000000"/>
      <w:sz w:val="19"/>
    </w:rPr>
  </w:style>
  <w:style w:type="paragraph" w:styleId="1">
    <w:name w:val="heading 1"/>
    <w:basedOn w:val="a1"/>
    <w:next w:val="a1"/>
    <w:link w:val="10"/>
    <w:uiPriority w:val="9"/>
    <w:qFormat/>
    <w:pPr>
      <w:keepNext/>
      <w:keepLines/>
      <w:spacing w:before="20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line="240" w:lineRule="auto"/>
    </w:pPr>
  </w:style>
  <w:style w:type="character" w:customStyle="1" w:styleId="a6">
    <w:name w:val="Верхний колонтитул Знак"/>
    <w:basedOn w:val="a2"/>
    <w:link w:val="a5"/>
    <w:uiPriority w:val="99"/>
  </w:style>
  <w:style w:type="paragraph" w:styleId="a7">
    <w:name w:val="footer"/>
    <w:basedOn w:val="a1"/>
    <w:link w:val="a8"/>
    <w:uiPriority w:val="99"/>
    <w:unhideWhenUsed/>
    <w:pPr>
      <w:tabs>
        <w:tab w:val="center" w:pos="4680"/>
        <w:tab w:val="right" w:pos="9360"/>
      </w:tabs>
      <w:spacing w:after="0" w:line="240" w:lineRule="auto"/>
    </w:pPr>
  </w:style>
  <w:style w:type="character" w:customStyle="1" w:styleId="a8">
    <w:name w:val="Нижний колонтитул Знак"/>
    <w:basedOn w:val="a2"/>
    <w:link w:val="a7"/>
    <w:uiPriority w:val="99"/>
  </w:style>
  <w:style w:type="paragraph" w:styleId="a9">
    <w:name w:val="No Spacing"/>
    <w:uiPriority w:val="1"/>
    <w:qFormat/>
    <w:pPr>
      <w:spacing w:after="0" w:line="240" w:lineRule="auto"/>
    </w:p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ab">
    <w:name w:val="Заголовок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pPr>
      <w:spacing w:after="120"/>
    </w:pPr>
  </w:style>
  <w:style w:type="character" w:customStyle="1" w:styleId="af0">
    <w:name w:val="Основной текст Знак"/>
    <w:basedOn w:val="a2"/>
    <w:link w:val="af"/>
    <w:uiPriority w:val="99"/>
  </w:style>
  <w:style w:type="paragraph" w:styleId="23">
    <w:name w:val="Body Text 2"/>
    <w:basedOn w:val="a1"/>
    <w:link w:val="24"/>
    <w:uiPriority w:val="99"/>
    <w:unhideWhenUsed/>
    <w:pPr>
      <w:spacing w:after="120" w:line="480" w:lineRule="auto"/>
    </w:pPr>
  </w:style>
  <w:style w:type="character" w:customStyle="1" w:styleId="24">
    <w:name w:val="Основной текст 2 Знак"/>
    <w:basedOn w:val="a2"/>
    <w:link w:val="23"/>
    <w:uiPriority w:val="99"/>
  </w:style>
  <w:style w:type="paragraph" w:styleId="33">
    <w:name w:val="Body Text 3"/>
    <w:basedOn w:val="a1"/>
    <w:link w:val="34"/>
    <w:uiPriority w:val="99"/>
    <w:unhideWhenUsed/>
    <w:pPr>
      <w:spacing w:after="120"/>
    </w:pPr>
    <w:rPr>
      <w:sz w:val="16"/>
      <w:szCs w:val="16"/>
    </w:rPr>
  </w:style>
  <w:style w:type="character" w:customStyle="1" w:styleId="34">
    <w:name w:val="Основной текст 3 Знак"/>
    <w:basedOn w:val="a2"/>
    <w:link w:val="33"/>
    <w:uiPriority w:val="99"/>
    <w:rPr>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Pr>
      <w:rFonts w:ascii="Courier" w:hAnsi="Courier"/>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pPr>
      <w:spacing w:line="240" w:lineRule="auto"/>
    </w:pPr>
    <w:rPr>
      <w:b/>
      <w:bCs/>
      <w:color w:val="4F81BD" w:themeColor="accent1"/>
      <w:sz w:val="18"/>
      <w:szCs w:val="18"/>
    </w:rPr>
  </w:style>
  <w:style w:type="character" w:styleId="af6">
    <w:name w:val="Strong"/>
    <w:basedOn w:val="a2"/>
    <w:uiPriority w:val="22"/>
    <w:qFormat/>
    <w:rPr>
      <w:b/>
      <w:bCs/>
    </w:rPr>
  </w:style>
  <w:style w:type="character" w:styleId="af7">
    <w:name w:val="Emphasis"/>
    <w:basedOn w:val="a2"/>
    <w:uiPriority w:val="20"/>
    <w:qFormat/>
    <w:rPr>
      <w:i/>
      <w:iCs/>
    </w:rPr>
  </w:style>
  <w:style w:type="paragraph" w:styleId="af8">
    <w:name w:val="Intense Quote"/>
    <w:basedOn w:val="a1"/>
    <w:next w:val="a1"/>
    <w:link w:val="a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Pr>
      <w:b/>
      <w:bCs/>
      <w:i/>
      <w:iCs/>
      <w:color w:val="4F81BD" w:themeColor="accent1"/>
    </w:rPr>
  </w:style>
  <w:style w:type="character" w:styleId="afa">
    <w:name w:val="Subtle Emphasis"/>
    <w:basedOn w:val="a2"/>
    <w:uiPriority w:val="19"/>
    <w:qFormat/>
    <w:rPr>
      <w:i/>
      <w:iCs/>
      <w:color w:val="808080" w:themeColor="text1" w:themeTint="7F"/>
    </w:rPr>
  </w:style>
  <w:style w:type="character" w:styleId="afb">
    <w:name w:val="Intense Emphasis"/>
    <w:basedOn w:val="a2"/>
    <w:uiPriority w:val="21"/>
    <w:qFormat/>
    <w:rPr>
      <w:b/>
      <w:bCs/>
      <w:i/>
      <w:iCs/>
      <w:color w:val="4F81BD" w:themeColor="accent1"/>
    </w:rPr>
  </w:style>
  <w:style w:type="character" w:styleId="afc">
    <w:name w:val="Subtle Reference"/>
    <w:basedOn w:val="a2"/>
    <w:uiPriority w:val="31"/>
    <w:qFormat/>
    <w:rPr>
      <w:smallCaps/>
      <w:color w:val="C0504D" w:themeColor="accent2"/>
      <w:u w:val="single"/>
    </w:rPr>
  </w:style>
  <w:style w:type="character" w:styleId="afd">
    <w:name w:val="Intense Reference"/>
    <w:basedOn w:val="a2"/>
    <w:uiPriority w:val="32"/>
    <w:qFormat/>
    <w:rPr>
      <w:b/>
      <w:bCs/>
      <w:smallCaps/>
      <w:color w:val="C0504D" w:themeColor="accent2"/>
      <w:spacing w:val="5"/>
      <w:u w:val="single"/>
    </w:rPr>
  </w:style>
  <w:style w:type="character" w:styleId="afe">
    <w:name w:val="Book Title"/>
    <w:basedOn w:val="a2"/>
    <w:uiPriority w:val="33"/>
    <w:qFormat/>
    <w:rPr>
      <w:b/>
      <w:bCs/>
      <w:smallCaps/>
      <w:spacing w:val="5"/>
    </w:rPr>
  </w:style>
  <w:style w:type="paragraph" w:styleId="aff">
    <w:name w:val="TOC Heading"/>
    <w:basedOn w:val="1"/>
    <w:next w:val="a1"/>
    <w:uiPriority w:val="39"/>
    <w:semiHidden/>
    <w:unhideWhenUsed/>
    <w:qFormat/>
    <w:pPr>
      <w:outlineLvl w:val="9"/>
    </w:pPr>
  </w:style>
  <w:style w:type="table" w:styleId="aff0">
    <w:name w:val="Table Grid"/>
    <w:basedOn w:val="a3"/>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7</Pages>
  <Words>2322</Words>
  <Characters>13240</Characters>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15531</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docId:2FCBA9F816B87E09689E96C15AAB6361</cp:keywords>
  <dc:description/>
  <cp:lastModifiedBy/>
  <cp:category/>
</cp:coreProperties>
</file>