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A6115" w14:textId="77777777">
      <w:pPr>
        <w:pStyle w:val="aa"/>
      </w:pPr>
      <w:r>
        <w:t>कुकीज़ नीति</w:t>
      </w:r>
    </w:p>
    <w:p w14:paraId="348B6023" w14:textId="3D65E193">
      <w:pPr>
        <w:rPr>
          <w:u w:val="single"/>
        </w:rPr>
      </w:pPr>
      <w:r>
        <w:rPr>
          <w:b/>
          <w:sz w:val="22"/>
        </w:rPr>
        <w:t xml:space="preserve">अल </w:t>
      </w:r>
      <w:r>
        <w:rPr>
          <w:b/>
          <w:sz w:val="22"/>
          <w:u w:val="single"/>
        </w:rPr>
        <w:t>अयमान · alayman.ae</w:t>
      </w:r>
    </w:p>
    <w:p w14:paraId="61F3DBB4" w14:textId="5C2E9CFD">
      <w:r>
        <w:t>प्रभावी तिथि:</w:t>
      </w:r>
      <w:r>
        <w:t xml:space="preserve"> 01 </w:t>
      </w:r>
      <w:r>
        <w:t>अक्टूबर 2026</w:t>
      </w:r>
    </w:p>
    <w:p w14:paraId="6340830C" w14:textId="77777777">
      <w:r>
        <w:t>यह कुकीज़ नीति बताती है कि अल अयमान सर्विसेज़ गेटवे एल.एल.सी-एफज़ेड ("अल अयमान", "हम", "हमें" या "हमारा") alayman.ae, हमारे मोबाइल एप्लिकेशन और संबंधित प्लेटफ़ॉर्म सेवाओं पर कुकीज़ और समान तकनीकों का उपयोग कैसे करता है।</w:t>
      </w:r>
    </w:p>
    <w:p w14:paraId="3CF04A76" w14:textId="77777777">
      <w:r>
        <w:t>इस नीति को गोपनीयता नीति के साथ मिलकर पढ़ा जाना चाहिए। जहाँ कोई कुकी या समान तकनीक व्यक्तिगत डेटा की प्रक्रिया में शामिल होती है, तो उस प्रक्रिया को लागू यूएई डेटा संरक्षण कानून के अनुसार संभाला जाता है।</w:t>
      </w:r>
    </w:p>
    <w:p w14:paraId="6965684E" w14:textId="77777777">
      <w:pPr>
        <w:pStyle w:val="1"/>
      </w:pPr>
      <w:r>
        <w:t>1. कुकीज़ और समान तकनीकें क्या हैं</w:t>
      </w:r>
    </w:p>
    <w:p w14:paraId="725F7790" w14:textId="77777777">
      <w:r>
        <w:t>कुकीज़ छोटी डेटा फ़ाइलें होती हैं जो किसी वेबसाइट पर जाने पर ब्राउज़र या डिवाइस पर संग्रहीत होती हैं। वे उपयोगकर्ता को साइन इन रखने, प्राथमिकताओं को याद रखने, खाते की सुरक्षा करने और यह समझने जैसे कार्यों में सहायता कर सकती हैं कि वेबसाइट का उपयोग कैसे किया जाता है।</w:t>
      </w:r>
    </w:p>
    <w:p w14:paraId="537AB97C" w14:textId="77777777">
      <w:r>
        <w:t>प्लेटफ़ॉर्म समान तकनीकों का भी उपयोग कर सकता है, जिसमें ब्राउज़र या ऐप स्टोरेज, मोबाइल SDK, डिवाइस या ऐप पहचानकर्ता, पिक्सल या तुलनीय तकनीकें शामिल हैं। वेबसाइट और मोबाइल एप्लिकेशन के बीच विशेष तकनीक भिन्न हो सकती है।</w:t>
      </w:r>
    </w:p>
    <w:p w14:paraId="262AB2B9" w14:textId="77777777">
      <w:pPr>
        <w:pStyle w:val="1"/>
      </w:pPr>
      <w:r>
        <w:t>2. श्रेणियाँ जिनका हम उपयोग कर सकते हैं</w:t>
      </w:r>
    </w:p>
    <w:p w14:paraId="4F173388" w14:textId="77777777">
      <w:r>
        <w:t>प्लेटफ़ॉर्म फ़ीचर और उपयोगकर्ता की पसंद के आधार पर, अल आयमान निम्नलिखित श्रेणियों का उपयोग कर सकता है:</w:t>
      </w:r>
    </w:p>
    <w:p w14:paraId="4820B775" w14:textId="77777777">
      <w:pPr>
        <w:pStyle w:val="a0"/>
        <w:ind w:left="317" w:hanging="173"/>
      </w:pPr>
      <w:r>
        <w:t>अत्यंत आवश्यक और सुरक्षा प्रौद्योगिकियाँ — लॉगिन, प्रमाणीकरण, सत्र प्रबंधन, सुरक्षा, धोखाधड़ी की रोकथाम, लोड प्रबंधन और प्लेटफ़ॉर्म प्रदान करने या उसकी सुरक्षा के लिए आवश्यक अन्य कार्यों के लिए उपयोग की जाती हैं।</w:t>
      </w:r>
    </w:p>
    <w:p w14:paraId="2A2ACF2F" w14:textId="77777777">
      <w:pPr>
        <w:pStyle w:val="a0"/>
        <w:ind w:left="317" w:hanging="173"/>
      </w:pPr>
      <w:r>
        <w:t>पसंद और कार्यात्मक तकनीकें — भाषा, स्थान या सेवा-क्षेत्र की प्राथमिकताओं, इंटरफ़ेस सेटिंग्स और अन्य अनुरोधित कार्यक्षमताओं जैसी पसंद को याद रखने के लिए उपयोग की जाती हैं।</w:t>
      </w:r>
    </w:p>
    <w:p w14:paraId="475B0315" w14:textId="77777777">
      <w:pPr>
        <w:pStyle w:val="a0"/>
        <w:ind w:left="317" w:hanging="173"/>
      </w:pPr>
      <w:r>
        <w:t>एनालिटिक्स और प्रदर्शन तकनीकें — यह समझने के लिए उपयोग की जाती हैं कि प्लेटफ़ॉर्म का उपयोग कैसे किया जाता है, त्रुटियों का निदान करने, प्रदर्शन को मापने और सुविधाओं में सुधार करने के लिए।</w:t>
      </w:r>
    </w:p>
    <w:p w14:paraId="099221A3" w14:textId="77777777">
      <w:pPr>
        <w:pStyle w:val="a0"/>
        <w:ind w:left="317" w:hanging="173"/>
      </w:pPr>
      <w:r>
        <w:t>मार्केटिंग या विज्ञापन प्रौद्योगिकियाँ — यदि सक्षम किया गया हो, तो अभियानों को मापने या प्रचार या विज्ञापन कार्यक्षमता प्रदान करने के लिए उपयोग की जाती हैं।</w:t>
      </w:r>
    </w:p>
    <w:p w14:paraId="462117FF" w14:textId="77777777">
      <w:r>
        <w:t>हर श्रेणी हर समय सक्रिय होना आवश्यक नहीं है। जैसे-जैसे प्लेटफ़ॉर्म विकसित होता है, अल आयमन इस नीति और लागू सहमति आवश्यकताओं के अधीन, उपयोग की जाने वाली विशिष्ट तकनीकों को बदल सकता है।</w:t>
      </w:r>
    </w:p>
    <w:p w14:paraId="7EA26ACC" w14:textId="77777777">
      <w:pPr>
        <w:pStyle w:val="1"/>
      </w:pPr>
      <w:r>
        <w:t>3. सहमति का उपयोग कब किया जाता है</w:t>
      </w:r>
    </w:p>
    <w:p w14:paraId="37E81A28" w14:textId="77777777">
      <w:r>
        <w:t>उपयोगकर्ता द्वारा अनुरोधित सेवा प्रदान करने, सुरक्षा बनाए रखने या प्लेटफ़ॉर्म के आवश्यक कार्यों को करने के लिए आवश्यक तकनीकें, जहाँ लागू कानून द्वारा अनुमत हो, वैकल्पिक कुकी सहमति विकल्प के बिना काम कर सकती हैं।</w:t>
      </w:r>
    </w:p>
    <w:p w14:paraId="5E4048B8" w14:textId="77777777">
      <w:r>
        <w:t>जहाँ एनालिटिक्स, मार्केटिंग या अन्य गैर-आवश्यक तकनीकों के लिए सहमति की आवश्यकता होती है, अल अयमान संबंधित तकनीक को सक्रिय करने से पहले उस सहमति का अनुरोध करेगा। उपयोगकर्ता उस तकनीक पर निर्भर नहीं होने वाले कार्यों तक पहुँच खोए बिना ऐसी सहमति देने से इनकार कर सकते हैं या बाद में उसे वापस ले सकते हैं।</w:t>
      </w:r>
    </w:p>
    <w:p w14:paraId="6332B307" w14:textId="77777777">
      <w:r>
        <w:lastRenderedPageBreak/>
        <w:t>सहमति वापस लेने से उस प्रसंस्करण पर कोई प्रभाव नहीं पड़ता जो वापस लेने से पहले वैध था।</w:t>
      </w:r>
    </w:p>
    <w:p w14:paraId="2B0AFADF" w14:textId="77777777">
      <w:pPr>
        <w:pStyle w:val="1"/>
      </w:pPr>
      <w:r>
        <w:t>4. कुकी और गोपनीयता नियंत्रण</w:t>
      </w:r>
    </w:p>
    <w:p w14:paraId="5F4702FE" w14:textId="77777777">
      <w:r>
        <w:t>जहाँ गैर-आवश्यक तकनीकों का उपयोग किया जाता है, प्लेटफ़ॉर्म कुकी बैनर, गोपनीयता सेटिंग्स या कोई अन्य प्राथमिकता नियंत्रण प्रदान कर सकता है। सक्षम की गई तकनीकों के आधार पर, उपयोगकर्ता गैर-आवश्यक तकनीकों की श्रेणियों को स्वीकार या अस्वीकार कर सकते हैं और बाद में उन विकल्पों को बदल सकते हैं।</w:t>
      </w:r>
    </w:p>
    <w:p w14:paraId="424ABD24" w14:textId="77777777">
      <w:r>
        <w:t>उपयोगकर्ता ब्राउज़र या डिवाइस सेटिंग्स के माध्यम से कई ब्राउज़र कुकीज़ को भी नियंत्रित कर सकते हैं। सभी कुकीज़ या स्टोरेज को ब्लॉक करने से लॉगिन, सुरक्षा या प्लेटफ़ॉर्म के अन्य आवश्यक फ़ंक्शन ठीक से काम नहीं कर सकते हैं।</w:t>
      </w:r>
    </w:p>
    <w:p w14:paraId="4846D303" w14:textId="77777777">
      <w:r>
        <w:t>मोबाइल एप्लिकेशन अतिरिक्त रूप से कुछ पहचानकर्ताओं, एनालिटिक्स, सूचनाओं या स्थान-संबंधी कार्यक्षमता के लिए ऑपरेटिंग सिस्टम की अनुमतियों या इन-ऐप गोपनीयता सेटिंग्स पर निर्भर कर सकते हैं।</w:t>
      </w:r>
    </w:p>
    <w:p w14:paraId="6019F820" w14:textId="77777777">
      <w:pPr>
        <w:pStyle w:val="1"/>
      </w:pPr>
      <w:r>
        <w:t>5. तृतीय-पक्ष प्रौद्योगिकियाँ</w:t>
      </w:r>
    </w:p>
    <w:p w14:paraId="5F50BBE4" w14:textId="77777777">
      <w:r>
        <w:t>अल आयमान प्रमाणीकरण और संचार, प्रदाताओं के लिए भुगतान प्रसंस्करण, होस्टिंग और बुनियादी ढांचे, मानचित्र या स्थान कार्यक्षमता, विश्लेषण, सुरक्षा और त्रुटि निगरानी, और ग्राहक सहायता जैसे कार्यों का समर्थन करने के लिए तृतीय-पक्ष सेवा प्रदाताओं का उपयोग कर सकता है।</w:t>
      </w:r>
    </w:p>
    <w:p w14:paraId="3744F29E" w14:textId="77777777">
      <w:r>
        <w:t>इनमें से कुछ प्रदाता अपनी सेवा प्रदान करने के लिए आवश्यक होने पर कुकीज़, SDK डेटा या समान पहचानकर्ताओं को सेट या एक्सेस कर सकते हैं। उपयोग किए जाने वाले प्रदाता और प्रौद्योगिकियाँ समय के साथ बदल सकते हैं। इसलिए हम विक्रेता के नामों या तकनीकी कुकी नामों की एक स्थिर सूची को इस नीति का हिस्सा नहीं मानते हैं, जब तक कि किसी विशिष्ट प्रदाता का प्रकटीकरण कानून द्वारा आवश्यक न हो या उपयोगकर्ता की पसंद के लिए महत्वपूर्ण न हो।</w:t>
      </w:r>
    </w:p>
    <w:p w14:paraId="6B1C7A9A" w14:textId="77777777">
      <w:r>
        <w:t>जहाँ तृतीय-पक्ष तकनीक व्यक्तिगत डेटा को संसाधित करती है, वहाँ प्रसंस्करण और कोई भी अंतरराष्ट्रीय हस्तांतरण गोपनीयता नीति में वर्णित अनुसार और लागू यूएई डेटा सुरक्षा आवश्यकताओं के अनुसार संभाला जाता है।</w:t>
      </w:r>
    </w:p>
    <w:p w14:paraId="3E9852AB" w14:textId="77777777">
      <w:pPr>
        <w:pStyle w:val="1"/>
      </w:pPr>
      <w:r>
        <w:t>6. एनालिटिक्स</w:t>
      </w:r>
    </w:p>
    <w:p w14:paraId="74A8332C" w14:textId="77777777">
      <w:r>
        <w:t>यदि अल आयमान ऐसी वैकल्पिक एनालिटिक्स तकनीकों का उपयोग करता है जिनके लिए सहमति की आवश्यकता होती है, तो वे आवश्यक सहमति प्राप्त होने के बाद ही सक्रिय की जाएंगी। एनालिटिक्स का उपयोग विज़िट, फ़ीचर उपयोग, नेविगेशन, ऐप प्रदर्शन और तकनीकी त्रुटियों को समझने के लिए किया जा सकता है।</w:t>
      </w:r>
    </w:p>
    <w:p w14:paraId="73C02301" w14:textId="77777777">
      <w:r>
        <w:t>जहाँ तक संभव हो, अल आयमान संसाधित की जाने वाली पहचान योग्य जानकारी की मात्रा को कम करने के लिए समेकित, पहचान-रहित या गोपनीयता-संरक्षण संबंधी विश्लेषण विधियों का उपयोग कर सकता है।</w:t>
      </w:r>
    </w:p>
    <w:p w14:paraId="2D0BDF84" w14:textId="77777777">
      <w:pPr>
        <w:pStyle w:val="1"/>
      </w:pPr>
      <w:r>
        <w:t>7. विपणन और विज्ञापन</w:t>
      </w:r>
    </w:p>
    <w:p w14:paraId="3B8A9210" w14:textId="77777777">
      <w:r>
        <w:t>अल अयमान को केवल मुख्य बाज़ार को संचालित करने के लिए विज्ञापन या रीटारगेटिंग तकनीकों का उपयोग करने की आवश्यकता नहीं है। यदि सहमति की आवश्यकता वाली मार्केटिंग या विज्ञापन तकनीकों को पेश किया जाता है, तो उन्हें सक्रिय करने से पहले प्रासंगिक सहमति नियंत्रणों के अधीन किया जाएगा।</w:t>
      </w:r>
    </w:p>
    <w:p w14:paraId="4E1231C0" w14:textId="77777777">
      <w:r>
        <w:t>प्रचार संबंधी ईमेल या एसएमएस जैसी मार्केटिंग संचार गतिविधियाँ गोपनीयता नीति और लागू संचार प्राथमिकताओं द्वारा नियंत्रित होती हैं; केवल इसलिए कि कोई उपयोगकर्ता कुकीज़ स्वीकार करता है, वे स्वचालित रूप से अधिकृत नहीं होती हैं।</w:t>
      </w:r>
    </w:p>
    <w:p w14:paraId="2B0B6699" w14:textId="77777777">
      <w:pPr>
        <w:pStyle w:val="1"/>
      </w:pPr>
      <w:r>
        <w:lastRenderedPageBreak/>
        <w:t>8. प्रतिधारण</w:t>
      </w:r>
    </w:p>
    <w:p w14:paraId="6F6BB8DF" w14:textId="77777777">
      <w:r>
        <w:t>कुकीज़ और समान तकनीकों को उनके उद्देश्य के लिए उपयुक्त अवधि के लिए रखा जाता है। कुछ ब्राउज़र या ऐप सत्र समाप्त होने पर समाप्त हो जाती हैं, जबकि अन्य प्राथमिकताओं को याद रखने, सुरक्षा बनाए रखने या प्लेटफ़ॉर्म के उपयोग को मापने के लिए एक परिभाषित अवधि तक रह सकती हैं।</w:t>
      </w:r>
    </w:p>
    <w:p w14:paraId="12A0332F" w14:textId="77777777">
      <w:r>
        <w:t>इन प्रौद्योगिकियों के माध्यम से उत्पन्न डेटा को कुकी या पहचानकर्ता स्वयं से अलग रखा जा सकता है, जहां सुरक्षा, एनालिटिक्स, कानूनी या परिचालन उद्देश्यों के लिए यह उचित रूप से आवश्यक हो। व्यक्तिगत डेटा प्रतिधारण गोपनीयता नीति और लागू कानून द्वारा शासित है।</w:t>
      </w:r>
    </w:p>
    <w:p w14:paraId="26D84268" w14:textId="77777777">
      <w:r>
        <w:t>जहाँ कोई सहमति इंटरफ़ेस किसी विशिष्ट तकनीक या श्रेणी के बारे में जानकारी प्रदान करता है, वहाँ दिखाई गई अवधि वास्तव में उपयोग में आने वाली कॉन्फ़िगरेशन को प्रतिबिंबित करनी चाहिए।</w:t>
      </w:r>
    </w:p>
    <w:p w14:paraId="51784953" w14:textId="77777777">
      <w:pPr>
        <w:pStyle w:val="1"/>
      </w:pPr>
      <w:r>
        <w:t>9. अंतर्राष्ट्रीय प्रसंस्करण</w:t>
      </w:r>
    </w:p>
    <w:p w14:paraId="0EA1E22D" w14:textId="77777777">
      <w:r>
        <w:t>कुछ प्रौद्योगिकी प्रदाता संयुक्त अरब अमीरात के बाहर डेटा संसाधित कर सकते हैं। जहाँ इसमें व्यक्तिगत डेटा का हस्तांतरण शामिल है, अल अयमान लागू यूएई डेटा संरक्षण कानून द्वारा अनुमत एक हस्तांतरण तंत्र और सुरक्षा उपायों का उपयोग करेगा, जैसा कि गोपनीयता नीति में वर्णित है।</w:t>
      </w:r>
    </w:p>
    <w:p w14:paraId="736E96D6" w14:textId="77777777">
      <w:r>
        <w:t>अल आयमान यह प्रतिनिधित्व नहीं करता है कि किसी अन्य देश के गोपनीयता कानून के तहत उपयोग किया गया एक स्थानांतरण तंत्र स्वचालित रूप से यूएई स्थानांतरण आवश्यकताओं को पूरा करता है।</w:t>
      </w:r>
    </w:p>
    <w:p w14:paraId="749D7C4F" w14:textId="77777777">
      <w:pPr>
        <w:pStyle w:val="1"/>
      </w:pPr>
      <w:r>
        <w:t>10. इस नीति में परिवर्तन</w:t>
      </w:r>
    </w:p>
    <w:p w14:paraId="58B6EA8B" w14:textId="77777777">
      <w:r>
        <w:t>जब प्लेटफ़ॉर्म, प्रौद्योगिकियाँ, प्रदाता, कानूनी आवश्यकताएँ या हमारे तरीके बदलते हैं तो हम इस नीति को अपडेट कर सकते हैं। वर्तमान संस्करण और प्रभावी तिथि प्लेटफ़ॉर्म के माध्यम से उपलब्ध कराई जाएगी।</w:t>
      </w:r>
    </w:p>
    <w:p w14:paraId="7C50BC78" w14:textId="77777777">
      <w:r>
        <w:t>यदि कोई परिवर्तन एक नई गैर-आवश्यक प्रसंस्करण गतिविधि पेश करता है जिसके लिए सहमति की आवश्यकता होती है, तो हम उपयोगकर्ता के लिए उस गतिविधि को सक्रिय करने से पहले आवश्यक सहमति प्राप्त करेंगे।</w:t>
      </w:r>
    </w:p>
    <w:p w14:paraId="3752D465" w14:textId="494BDF51">
      <w:pPr>
        <w:pStyle w:val="1"/>
      </w:pPr>
      <w:r>
        <w:t>11. सामान्य</w:t>
      </w:r>
    </w:p>
    <w:p w14:paraId="3934DDA1" w14:textId="5032852F">
      <w:r>
        <w:t>यह नीति अंग्रेजी में तैयार की गई है और सुविधा तथा सुलभता के लिए अन्य भाषाओं में अनुवादित की जा सकती है। लागू कानून द्वारा अनुमत सीमा तक, अनुवादों के बीच के मतभेदों की व्याख्या करने के लिए अंग्रेजी संस्करण का उपयोग किया जाएगा। यह किसी भी अनिवार्य अरबी-भाषा की आवश्यकता या किसी सक्षम यूएई अदालत या प्राधिकरण की आवश्यकताओं को अधिलेखित नहीं करता है।</w:t>
      </w:r>
    </w:p>
    <w:p w14:paraId="405B4FF7" w14:textId="1A7ADC0A">
      <w:pPr>
        <w:pStyle w:val="1"/>
      </w:pPr>
      <w:r>
        <w:t>12</w:t>
      </w:r>
      <w:r>
        <w:t>. संपर्क</w:t>
      </w:r>
    </w:p>
    <w:p w14:paraId="0A1780B0" w14:textId="77777777">
      <w:r>
        <w:t>कुकीज़, समान तकनीकों या गोपनीयता विकल्पों के बारे में प्रश्न इस पर भेजे जा सकते हैं:</w:t>
      </w:r>
    </w:p>
    <w:p w14:paraId="42B09E21" w14:textId="77777777">
      <w:r>
        <w:t>अल आयमन सर्विसेज गेटवे एल.एल.सी-एफज़ेड</w:t>
      </w:r>
    </w:p>
    <w:p w14:paraId="0CAF28B1" w14:textId="77777777">
      <w:r>
        <w:t>मेदान ग्रैंडस्टैंड, छठी मंजिल, मेदान रोड, नाद अल शेबा, दुबई, यू.ए.ई.</w:t>
      </w:r>
    </w:p>
    <w:p w14:paraId="36B8B377" w14:textId="77777777">
      <w:r>
        <w:t>वेबसाइट: alayman.ae</w:t>
      </w:r>
    </w:p>
    <w:p w14:paraId="66C9B9AA" w14:textId="35FB3BB2">
      <w:r>
        <w:t>सहायता: support@alayman.ae</w:t>
      </w:r>
    </w:p>
    <w:p w14:paraId="63E49C00" w14:textId="2B328A76">
      <w:pPr>
        <w:jc w:val="center"/>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A53E4" w14:textId="77777777">
      <w:pPr>
        <w:spacing w:after="0" w:line="240" w:lineRule="auto"/>
      </w:pPr>
      <w:r>
        <w:separator/>
      </w:r>
    </w:p>
  </w:endnote>
  <w:endnote w:type="continuationSeparator" w:id="0">
    <w:p w14:paraId="6AB424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EBAC" w14:textId="393DB463">
    <w:pPr>
      <w:pStyle w:val="a7"/>
      <w:jc w:val="center"/>
    </w:pPr>
    <w:proofErr w:type="spellStart"/>
    <w:r>
      <w:rPr>
        <w:color w:val="6E6E6E"/>
        <w:sz w:val="16"/>
      </w:rPr>
      <w:t>कुकीज़</w:t>
    </w:r>
    <w:proofErr w:type="spellEnd"/>
    <w:r>
      <w:rPr>
        <w:color w:val="6E6E6E"/>
        <w:sz w:val="16"/>
      </w:rPr>
      <w:t xml:space="preserve"> </w:t>
    </w:r>
    <w:proofErr w:type="spellStart"/>
    <w:r>
      <w:rPr>
        <w:color w:val="6E6E6E"/>
        <w:sz w:val="16"/>
      </w:rPr>
      <w:t>नीति</w:t>
    </w:r>
    <w:proofErr w:type="spellEnd"/>
    <w:r>
      <w:rPr>
        <w:color w:val="6E6E6E"/>
        <w:sz w:val="16"/>
      </w:rPr>
      <w:t xml:space="preserve"> ·</w:t>
    </w:r>
    <w:r>
      <w:rPr>
        <w:color w:val="6E6E6E"/>
        <w:sz w:val="16"/>
      </w:rPr>
      <w:t xml:space="preserve"> 01 </w:t>
    </w:r>
    <w:proofErr w:type="spellStart"/>
    <w:r>
      <w:rPr>
        <w:color w:val="6E6E6E"/>
        <w:sz w:val="16"/>
      </w:rPr>
      <w:t>अक्टूबर</w:t>
    </w:r>
    <w:proofErr w:type="spellEnd"/>
    <w:r>
      <w:rPr>
        <w:color w:val="6E6E6E"/>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7550" w14:textId="77777777">
      <w:pPr>
        <w:spacing w:after="0" w:line="240" w:lineRule="auto"/>
      </w:pPr>
      <w:r>
        <w:separator/>
      </w:r>
    </w:p>
  </w:footnote>
  <w:footnote w:type="continuationSeparator" w:id="0">
    <w:p w14:paraId="2E1A6F1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914D" w14:textId="77777777">
    <w:pPr>
      <w:pStyle w:val="a5"/>
      <w:jc w:val="right"/>
    </w:pPr>
    <w:r>
      <w:rPr>
        <w:color w:val="6E6E6E"/>
        <w:sz w:val="16"/>
      </w:rPr>
      <w:t>AL AYMAN SERVICES GATEWAY L.L.C-FZ</w:t>
    </w:r>
  </w:p>
  <w:p w14:paraId="17950623" w14:textId="62FDA0F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0680923">
    <w:abstractNumId w:val="8"/>
  </w:num>
  <w:num w:numId="2" w16cid:durableId="384841640">
    <w:abstractNumId w:val="6"/>
  </w:num>
  <w:num w:numId="3" w16cid:durableId="943726440">
    <w:abstractNumId w:val="5"/>
  </w:num>
  <w:num w:numId="4" w16cid:durableId="2032147734">
    <w:abstractNumId w:val="4"/>
  </w:num>
  <w:num w:numId="5" w16cid:durableId="929319080">
    <w:abstractNumId w:val="7"/>
  </w:num>
  <w:num w:numId="6" w16cid:durableId="948120047">
    <w:abstractNumId w:val="3"/>
  </w:num>
  <w:num w:numId="7" w16cid:durableId="1229340847">
    <w:abstractNumId w:val="2"/>
  </w:num>
  <w:num w:numId="8" w16cid:durableId="421223022">
    <w:abstractNumId w:val="1"/>
  </w:num>
  <w:num w:numId="9" w16cid:durableId="888760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65B55"/>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style>
  <w:style w:type="paragraph" w:styleId="a9">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Pr>
      <w:rFonts w:ascii="Courier" w:hAnsi="Courier"/>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b/>
      <w:bCs/>
    </w:rPr>
  </w:style>
  <w:style w:type="character" w:styleId="af7">
    <w:name w:val="Emphasis"/>
    <w:basedOn w:val="a2"/>
    <w:uiPriority w:val="20"/>
    <w:qFormat/>
    <w:rPr>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b/>
      <w:bCs/>
      <w:i/>
      <w:iCs/>
      <w:color w:val="4F81BD" w:themeColor="accent1"/>
    </w:rPr>
  </w:style>
  <w:style w:type="character" w:styleId="afa">
    <w:name w:val="Subtle Emphasis"/>
    <w:basedOn w:val="a2"/>
    <w:uiPriority w:val="19"/>
    <w:qFormat/>
    <w:rPr>
      <w:i/>
      <w:iCs/>
      <w:color w:val="808080" w:themeColor="text1" w:themeTint="7F"/>
    </w:rPr>
  </w:style>
  <w:style w:type="character" w:styleId="afb">
    <w:name w:val="Intense Emphasis"/>
    <w:basedOn w:val="a2"/>
    <w:uiPriority w:val="21"/>
    <w:qFormat/>
    <w:rPr>
      <w:b/>
      <w:bCs/>
      <w:i/>
      <w:iCs/>
      <w:color w:val="4F81BD" w:themeColor="accent1"/>
    </w:rPr>
  </w:style>
  <w:style w:type="character" w:styleId="afc">
    <w:name w:val="Subtle Reference"/>
    <w:basedOn w:val="a2"/>
    <w:uiPriority w:val="31"/>
    <w:qFormat/>
    <w:rPr>
      <w:smallCaps/>
      <w:color w:val="C0504D" w:themeColor="accent2"/>
      <w:u w:val="single"/>
    </w:rPr>
  </w:style>
  <w:style w:type="character" w:styleId="afd">
    <w:name w:val="Intense Reference"/>
    <w:basedOn w:val="a2"/>
    <w:uiPriority w:val="32"/>
    <w:qFormat/>
    <w:rPr>
      <w:b/>
      <w:bCs/>
      <w:smallCaps/>
      <w:color w:val="C0504D" w:themeColor="accent2"/>
      <w:spacing w:val="5"/>
      <w:u w:val="single"/>
    </w:rPr>
  </w:style>
  <w:style w:type="character" w:styleId="afe">
    <w:name w:val="Book Title"/>
    <w:basedOn w:val="a2"/>
    <w:uiPriority w:val="33"/>
    <w:qFormat/>
    <w:rPr>
      <w:b/>
      <w:bCs/>
      <w:smallCaps/>
      <w:spacing w:val="5"/>
    </w:rPr>
  </w:style>
  <w:style w:type="paragraph" w:styleId="aff">
    <w:name w:val="TOC Heading"/>
    <w:basedOn w:val="1"/>
    <w:next w:val="a1"/>
    <w:uiPriority w:val="39"/>
    <w:semiHidden/>
    <w:unhideWhenUsed/>
    <w:qFormat/>
    <w:pPr>
      <w:outlineLvl w:val="9"/>
    </w:pPr>
  </w:style>
  <w:style w:type="table" w:styleId="aff0">
    <w:name w:val="Table Grid"/>
    <w:basedOn w:val="a3"/>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3</Pages>
  <Words>1123</Words>
  <Characters>6406</Characters>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7514</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docId:3374106F73AFCAC13DFA8F7C00A65305</cp:keywords>
  <dc:description/>
  <cp:lastModifiedBy/>
  <cp:category/>
</cp:coreProperties>
</file>