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45AB0" w14:textId="77777777">
      <w:pPr>
        <w:pStyle w:val="aa"/>
        <w:bidi/>
        <w:jc w:val="right"/>
      </w:pPr>
      <w:r>
        <w:rPr>
          <w:rFonts w:ascii="Arial" w:eastAsia="Arial" w:hAnsi="Arial" w:cs="Arial"/>
          <w:rtl/>
        </w:rPr>
        <w:t>شروط الاستخدام</w:t>
      </w:r>
    </w:p>
    <w:p w14:paraId="4F37E46F" w14:textId="713273DE">
      <w:pPr>
        <w:bidi/>
        <w:jc w:val="right"/>
        <w:rPr>
          <w:rFonts w:eastAsia="Arial" w:cs="Arial"/>
          <w:b/>
          <w:bCs/>
          <w:u w:val="single"/>
        </w:rPr>
      </w:pPr>
      <w:r>
        <w:rPr>
          <w:rFonts w:eastAsia="Arial" w:cs="Arial"/>
          <w:rtl/>
        </w:rPr>
        <w:t xml:space="preserve"> </w:t>
      </w:r>
      <w:r>
        <w:rPr>
          <w:rFonts w:eastAsia="Arial" w:cs="Arial"/>
          <w:b/>
          <w:bCs/>
          <w:u w:val="single"/>
          <w:rtl/>
        </w:rPr>
        <w:t>Al Ayman · alayman.ae</w:t>
      </w:r>
    </w:p>
    <w:p w14:paraId="2E55484B" w14:textId="3A323DE9">
      <w:pPr>
        <w:bidi/>
        <w:jc w:val="right"/>
        <w:rPr>
          <w:sz w:val="22"/>
        </w:rPr>
      </w:pPr>
      <w:proofErr w:type="spellStart"/>
      <w:r>
        <w:rPr>
          <w:sz w:val="22"/>
        </w:rPr>
        <w:t>تاريخ</w:t>
      </w:r>
      <w:proofErr w:type="spellEnd"/>
      <w:r>
        <w:rPr>
          <w:sz w:val="22"/>
        </w:rPr>
        <w:t xml:space="preserve"> </w:t>
      </w:r>
      <w:proofErr w:type="spellStart"/>
      <w:r>
        <w:rPr>
          <w:sz w:val="22"/>
        </w:rPr>
        <w:t>السريان</w:t>
      </w:r>
      <w:proofErr w:type="spellEnd"/>
      <w:r>
        <w:rPr>
          <w:sz w:val="22"/>
        </w:rPr>
        <w:t xml:space="preserve"> – 1 </w:t>
      </w:r>
      <w:proofErr w:type="spellStart"/>
      <w:r>
        <w:rPr>
          <w:sz w:val="22"/>
        </w:rPr>
        <w:t>أكتوبر</w:t>
      </w:r>
      <w:proofErr w:type="spellEnd"/>
      <w:r>
        <w:rPr>
          <w:sz w:val="22"/>
        </w:rPr>
        <w:t xml:space="preserve"> 2026</w:t>
      </w:r>
    </w:p>
    <w:p w14:paraId="67530DD5" w14:textId="77777777">
      <w:pPr>
        <w:bidi/>
        <w:jc w:val="right"/>
      </w:pPr>
      <w:r>
        <w:rPr>
          <w:rFonts w:eastAsia="Arial" w:cs="Arial"/>
          <w:rtl/>
        </w:rPr>
        <w:t xml:space="preserve">المشغّل: Al Ayman </w:t>
      </w:r>
      <w:proofErr w:type="spellStart"/>
      <w:r>
        <w:rPr>
          <w:rFonts w:eastAsia="Arial" w:cs="Arial"/>
          <w:rtl/>
        </w:rPr>
        <w:t>Services</w:t>
      </w:r>
      <w:proofErr w:type="spellEnd"/>
      <w:r>
        <w:rPr>
          <w:rFonts w:eastAsia="Arial" w:cs="Arial"/>
          <w:rtl/>
        </w:rPr>
        <w:t xml:space="preserve"> </w:t>
      </w:r>
      <w:proofErr w:type="spellStart"/>
      <w:r>
        <w:rPr>
          <w:rFonts w:eastAsia="Arial" w:cs="Arial"/>
          <w:rtl/>
        </w:rPr>
        <w:t>Gateway</w:t>
      </w:r>
      <w:proofErr w:type="spellEnd"/>
      <w:r>
        <w:rPr>
          <w:rFonts w:eastAsia="Arial" w:cs="Arial"/>
          <w:rtl/>
        </w:rPr>
        <w:t xml:space="preserve"> L.L.C-FZ، شركة ذات مسؤولية محدودة مرخّصة في منطقة ميدان الحرة، دبي، الإمارات العربية المتحدة.</w:t>
      </w:r>
    </w:p>
    <w:p w14:paraId="78469A9D" w14:textId="77777777">
      <w:pPr>
        <w:bidi/>
        <w:jc w:val="right"/>
      </w:pPr>
      <w:r>
        <w:rPr>
          <w:rFonts w:eastAsia="Arial" w:cs="Arial"/>
          <w:rtl/>
        </w:rPr>
        <w:t>العنوان المسجّل: Meydan Grandstand, 6th Floor, Meydan Road, Nad Al Sheba, Dubai, U.A.E.</w:t>
      </w:r>
    </w:p>
    <w:p w14:paraId="47A66B00" w14:textId="77777777">
      <w:pPr>
        <w:bidi/>
        <w:jc w:val="right"/>
      </w:pPr>
      <w:r>
        <w:rPr>
          <w:rFonts w:eastAsia="Arial" w:cs="Arial"/>
          <w:rtl/>
        </w:rPr>
        <w:t>تحكم شروط الاستخدام هذه ("الشروط") الوصول إلى موقع Al Ayman الإلكتروني وتطبيقاته للهواتف المتحركة والخدمات المرتبطة بها (ويشار إليها مجتمعةً بـ "المنصة") واستخدامها. بإنشاء حساب، أو النقر على وسيلة مخصّصة لإبداء القبول، أو استخدام المنصة بأي طريقة أخرى عندما يُطلب القبول، فإنك توافق على هذه الشروط. تُعترف العقود الإلكترونية والقبول الإلكتروني بموجب القوانين المعمول بها في دولة الإمارات العربية المتحدة. إذا كنت لا توافق على هذه الشروط، فلا تستخدم المنصة.</w:t>
      </w:r>
    </w:p>
    <w:p w14:paraId="5663C37A" w14:textId="77777777">
      <w:pPr>
        <w:pStyle w:val="1"/>
        <w:bidi/>
        <w:jc w:val="right"/>
      </w:pPr>
      <w:r>
        <w:rPr>
          <w:rFonts w:ascii="Arial" w:eastAsia="Arial" w:hAnsi="Arial" w:cs="Arial"/>
          <w:rtl/>
        </w:rPr>
        <w:t>1. نبذة عن Al Ayman والقانون المعمول به</w:t>
      </w:r>
    </w:p>
    <w:p w14:paraId="4C4F0F6A" w14:textId="77777777">
      <w:pPr>
        <w:bidi/>
        <w:jc w:val="right"/>
      </w:pPr>
      <w:r>
        <w:rPr>
          <w:rFonts w:eastAsia="Arial" w:cs="Arial"/>
          <w:rtl/>
        </w:rPr>
        <w:t>1.1 تدير Al Ayman Services Gateway L.L.C-FZ ("Al Ayman" أو "الشركة" أو "نحن" أو "لنا") سوقاً تقنياً يتيح للمستخدمين في دولة الإمارات العربية المتحدة نشر طلبات الخدمات، وتلقي الردود من مقدمي الخدمات، والتواصل بشأن تلك الطلبات.</w:t>
      </w:r>
    </w:p>
    <w:p w14:paraId="100F2529" w14:textId="77777777">
      <w:pPr>
        <w:bidi/>
        <w:jc w:val="right"/>
      </w:pPr>
      <w:r>
        <w:rPr>
          <w:rFonts w:eastAsia="Arial" w:cs="Arial"/>
          <w:rtl/>
        </w:rPr>
        <w:t>1.2 تخضع هذه الشروط للقوانين المعمول بها في دولة الإمارات العربية المتحدة، وحيثما يكون ذلك ذا صلة، للقوانين واللوائح المعمول بها في إمارة دبي. ويشمل ذلك، بحسب الأحوال، تشريعات دولة الإمارات المتعلقة بالمعاملات الإلكترونية، والتجارة بوسائل التقنية الحديثة، وحماية المستهلك، والمعاملات التجارية، وحماية البيانات الشخصية، والضرائب، وغيرها من المسائل ذات الصلة بالمنصة.</w:t>
      </w:r>
    </w:p>
    <w:p w14:paraId="30114C98" w14:textId="77777777">
      <w:pPr>
        <w:bidi/>
        <w:jc w:val="right"/>
      </w:pPr>
      <w:r>
        <w:rPr>
          <w:rFonts w:eastAsia="Arial" w:cs="Arial"/>
          <w:rtl/>
        </w:rPr>
        <w:t>1.3 لا يستبعد أي حكم في هذه الشروط أو يقيّد أي حق أو وسيلة انتصاف لا يجوز قانوناً استبعادها أو تقييدها بموجب القوانين المعمول بها في دولة الإمارات العربية المتحدة.</w:t>
      </w:r>
    </w:p>
    <w:p w14:paraId="22B42DA0" w14:textId="77777777">
      <w:pPr>
        <w:pStyle w:val="1"/>
        <w:bidi/>
        <w:jc w:val="right"/>
      </w:pPr>
      <w:r>
        <w:rPr>
          <w:rFonts w:ascii="Arial" w:eastAsia="Arial" w:hAnsi="Arial" w:cs="Arial"/>
          <w:rtl/>
        </w:rPr>
        <w:t>2. دور المنصة</w:t>
      </w:r>
    </w:p>
    <w:p w14:paraId="754714C2" w14:textId="77777777">
      <w:pPr>
        <w:bidi/>
        <w:jc w:val="right"/>
      </w:pPr>
      <w:r>
        <w:rPr>
          <w:rFonts w:eastAsia="Arial" w:cs="Arial"/>
          <w:rtl/>
        </w:rPr>
        <w:t>2.1 توفر Al Ayman تقنية تتيح للعملاء ومقدمي الخدمات العثور على بعضهم والتواصل فيما بينهم. وما لم يُذكر صراحةً خلاف ذلك، فإن Al Ayman لا تقدم بنفسها الخدمات المعلن عنها أو المطلوبة عبر المنصة.</w:t>
      </w:r>
    </w:p>
    <w:p w14:paraId="42F45B2D" w14:textId="77777777">
      <w:pPr>
        <w:bidi/>
        <w:jc w:val="right"/>
      </w:pPr>
      <w:r>
        <w:rPr>
          <w:rFonts w:eastAsia="Arial" w:cs="Arial"/>
          <w:rtl/>
        </w:rPr>
        <w:t>2.2 عندما يختار العميل مقدم خدمة من خلال قبول رده، يبرم العميل ومقدم الخدمة اتفاقاً مباشراً بشأن الخدمة الأساسية ("اتفاقية الخدمة"). ولا تكون Al Ayman طرفاً في اتفاقية الخدمة.</w:t>
      </w:r>
    </w:p>
    <w:p w14:paraId="335A9B33" w14:textId="77777777">
      <w:pPr>
        <w:bidi/>
        <w:jc w:val="right"/>
      </w:pPr>
      <w:r>
        <w:rPr>
          <w:rFonts w:eastAsia="Arial" w:cs="Arial"/>
          <w:rtl/>
        </w:rPr>
        <w:t>2.3 مقدمو الخدمات مستخدمون مستقلون للمنصة. ولا يُعدّون موظفين أو وكلاء أو شركاء أو ممثلين لـ Al Ayman لمجرد استخدامهم المنصة.</w:t>
      </w:r>
    </w:p>
    <w:p w14:paraId="3600C2CD" w14:textId="77777777">
      <w:pPr>
        <w:bidi/>
        <w:jc w:val="right"/>
      </w:pPr>
      <w:r>
        <w:rPr>
          <w:rFonts w:eastAsia="Arial" w:cs="Arial"/>
          <w:rtl/>
        </w:rPr>
        <w:t>2.4 يجوز لـ Al Ayman التحقق من المعلومات أو المستندات المقدمة من مقدم الخدمة، إلا أن هذا التحقق لا يشكل ضماناً أو اعتماداً أو تصديقاً لمقدم الخدمة أو لأي خدمة. ويظل مقدم الخدمة مسؤولاً عن دقة معلوماته وعن المحافظة على جميع التراخيص والتصاريح والموافقات اللازمة لأنشطته.</w:t>
      </w:r>
    </w:p>
    <w:p w14:paraId="563E130E" w14:textId="77777777">
      <w:pPr>
        <w:bidi/>
        <w:jc w:val="right"/>
      </w:pPr>
      <w:r>
        <w:rPr>
          <w:rFonts w:eastAsia="Arial" w:cs="Arial"/>
          <w:rtl/>
        </w:rPr>
        <w:t>2.5 لا يحد أي حكم في هذا القسم من أي مسؤولية يتعين على Al Ayman تحملها بموجب القواعد الآمرة في قوانين دولة الإمارات بصفتها مشغّل المنصة.</w:t>
      </w:r>
    </w:p>
    <w:p w14:paraId="266DDF19" w14:textId="77777777">
      <w:pPr>
        <w:pStyle w:val="1"/>
        <w:bidi/>
        <w:jc w:val="right"/>
      </w:pPr>
      <w:r>
        <w:rPr>
          <w:rFonts w:ascii="Arial" w:eastAsia="Arial" w:hAnsi="Arial" w:cs="Arial"/>
          <w:rtl/>
        </w:rPr>
        <w:t>3. التعريفات</w:t>
      </w:r>
    </w:p>
    <w:tbl>
      <w:tblPr>
        <w:tblStyle w:val="aff0"/>
        <w:bidiVisual/>
        <w:tblW w:w="0" w:type="auto"/>
        <w:jc w:val="right"/>
        <w:tblLook w:val="04A0" w:firstRow="1" w:lastRow="0" w:firstColumn="1" w:lastColumn="0" w:noHBand="0" w:noVBand="1"/>
      </w:tblPr>
      <w:tblGrid>
        <w:gridCol w:w="5040"/>
        <w:gridCol w:w="5040"/>
      </w:tblGrid>
      <w:tr w14:paraId="067C4339" w14:textId="77777777">
        <w:trPr>
          <w:jc w:val="right"/>
        </w:trPr>
        <w:tc>
          <w:tcPr>
            <w:tcW w:w="5040" w:type="dxa"/>
            <w:shd w:val="clear" w:color="auto" w:fill="D9EAF7"/>
            <w:vAlign w:val="center"/>
          </w:tcPr>
          <w:p w14:paraId="601481D8" w14:textId="77777777">
            <w:pPr>
              <w:bidi/>
              <w:jc w:val="right"/>
            </w:pPr>
            <w:r>
              <w:rPr>
                <w:rFonts w:eastAsia="Arial" w:cs="Arial"/>
                <w:rtl/>
              </w:rPr>
              <w:t>المصطلح</w:t>
            </w:r>
          </w:p>
        </w:tc>
        <w:tc>
          <w:tcPr>
            <w:tcW w:w="5040" w:type="dxa"/>
            <w:shd w:val="clear" w:color="auto" w:fill="D9EAF7"/>
            <w:vAlign w:val="center"/>
          </w:tcPr>
          <w:p w14:paraId="0DC62B6A" w14:textId="77777777">
            <w:pPr>
              <w:bidi/>
              <w:jc w:val="right"/>
            </w:pPr>
            <w:r>
              <w:rPr>
                <w:rFonts w:eastAsia="Arial" w:cs="Arial"/>
                <w:rtl/>
              </w:rPr>
              <w:t>المعنى</w:t>
            </w:r>
          </w:p>
        </w:tc>
      </w:tr>
      <w:tr w14:paraId="6E56AB0C" w14:textId="77777777">
        <w:trPr>
          <w:jc w:val="right"/>
        </w:trPr>
        <w:tc>
          <w:tcPr>
            <w:tcW w:w="5040" w:type="dxa"/>
            <w:vAlign w:val="center"/>
          </w:tcPr>
          <w:p w14:paraId="682BA0A5" w14:textId="77777777">
            <w:pPr>
              <w:bidi/>
              <w:jc w:val="right"/>
            </w:pPr>
            <w:r>
              <w:rPr>
                <w:rFonts w:eastAsia="Arial" w:cs="Arial"/>
                <w:rtl/>
              </w:rPr>
              <w:t>الحساب</w:t>
            </w:r>
          </w:p>
        </w:tc>
        <w:tc>
          <w:tcPr>
            <w:tcW w:w="5040" w:type="dxa"/>
            <w:vAlign w:val="center"/>
          </w:tcPr>
          <w:p w14:paraId="6CBEC9F5" w14:textId="77777777">
            <w:pPr>
              <w:bidi/>
              <w:jc w:val="right"/>
            </w:pPr>
            <w:r>
              <w:rPr>
                <w:rFonts w:eastAsia="Arial" w:cs="Arial"/>
                <w:rtl/>
              </w:rPr>
              <w:t>حساب مستخدم مسجّل على المنصة.</w:t>
            </w:r>
          </w:p>
        </w:tc>
      </w:tr>
      <w:tr w14:paraId="69567212" w14:textId="77777777">
        <w:trPr>
          <w:jc w:val="right"/>
        </w:trPr>
        <w:tc>
          <w:tcPr>
            <w:tcW w:w="5040" w:type="dxa"/>
            <w:vAlign w:val="center"/>
          </w:tcPr>
          <w:p w14:paraId="0DECCC8B" w14:textId="77777777">
            <w:pPr>
              <w:bidi/>
              <w:jc w:val="right"/>
            </w:pPr>
            <w:r>
              <w:rPr>
                <w:rFonts w:eastAsia="Arial" w:cs="Arial"/>
                <w:rtl/>
              </w:rPr>
              <w:t>العميل</w:t>
            </w:r>
          </w:p>
        </w:tc>
        <w:tc>
          <w:tcPr>
            <w:tcW w:w="5040" w:type="dxa"/>
            <w:vAlign w:val="center"/>
          </w:tcPr>
          <w:p w14:paraId="506FBA99" w14:textId="77777777">
            <w:pPr>
              <w:bidi/>
              <w:jc w:val="right"/>
            </w:pPr>
            <w:r>
              <w:rPr>
                <w:rFonts w:eastAsia="Arial" w:cs="Arial"/>
                <w:rtl/>
              </w:rPr>
              <w:t>مستخدم ينشر طلباً أو يبحث عن خدمات من مقدمي الخدمات. ويكون استخدام العميل للمنصة للتسجيل ونشر الطلبات وتلقي الردود واختيار مقدم الخدمة مجانياً من رسوم المنصة.</w:t>
            </w:r>
          </w:p>
        </w:tc>
      </w:tr>
      <w:tr w14:paraId="5BD06D6B" w14:textId="77777777">
        <w:trPr>
          <w:jc w:val="right"/>
        </w:trPr>
        <w:tc>
          <w:tcPr>
            <w:tcW w:w="5040" w:type="dxa"/>
            <w:vAlign w:val="center"/>
          </w:tcPr>
          <w:p w14:paraId="34630B5C" w14:textId="77777777">
            <w:pPr>
              <w:bidi/>
              <w:jc w:val="right"/>
            </w:pPr>
            <w:r>
              <w:rPr>
                <w:rFonts w:eastAsia="Arial" w:cs="Arial"/>
                <w:rtl/>
              </w:rPr>
              <w:t>مقدم الخدمة</w:t>
            </w:r>
          </w:p>
        </w:tc>
        <w:tc>
          <w:tcPr>
            <w:tcW w:w="5040" w:type="dxa"/>
            <w:vAlign w:val="center"/>
          </w:tcPr>
          <w:p w14:paraId="56B794B3" w14:textId="77777777">
            <w:pPr>
              <w:bidi/>
              <w:jc w:val="right"/>
            </w:pPr>
            <w:r>
              <w:rPr>
                <w:rFonts w:eastAsia="Arial" w:cs="Arial"/>
                <w:rtl/>
              </w:rPr>
              <w:t>مستقل أو شركة مقدمة للخدمة مسجّلة على المنصة لعرض الخدمات.</w:t>
            </w:r>
          </w:p>
        </w:tc>
      </w:tr>
      <w:tr w14:paraId="50B0769C" w14:textId="77777777">
        <w:trPr>
          <w:jc w:val="right"/>
        </w:trPr>
        <w:tc>
          <w:tcPr>
            <w:tcW w:w="5040" w:type="dxa"/>
            <w:vAlign w:val="center"/>
          </w:tcPr>
          <w:p w14:paraId="66028C44" w14:textId="77777777">
            <w:pPr>
              <w:bidi/>
              <w:jc w:val="right"/>
            </w:pPr>
            <w:r>
              <w:rPr>
                <w:rFonts w:eastAsia="Arial" w:cs="Arial"/>
                <w:rtl/>
              </w:rPr>
              <w:t>المستقل</w:t>
            </w:r>
          </w:p>
        </w:tc>
        <w:tc>
          <w:tcPr>
            <w:tcW w:w="5040" w:type="dxa"/>
            <w:vAlign w:val="center"/>
          </w:tcPr>
          <w:p w14:paraId="0ACC0A36" w14:textId="77777777">
            <w:pPr>
              <w:bidi/>
              <w:jc w:val="right"/>
            </w:pPr>
            <w:r>
              <w:rPr>
                <w:rFonts w:eastAsia="Arial" w:cs="Arial"/>
                <w:rtl/>
              </w:rPr>
              <w:t>مقدم خدمة فردي يعرض الخدمات بصفة مشروعة.</w:t>
            </w:r>
          </w:p>
        </w:tc>
      </w:tr>
      <w:tr w14:paraId="6C7DE6D1" w14:textId="77777777">
        <w:trPr>
          <w:jc w:val="right"/>
        </w:trPr>
        <w:tc>
          <w:tcPr>
            <w:tcW w:w="5040" w:type="dxa"/>
            <w:vAlign w:val="center"/>
          </w:tcPr>
          <w:p w14:paraId="1CC312F8" w14:textId="77777777">
            <w:pPr>
              <w:bidi/>
              <w:jc w:val="right"/>
            </w:pPr>
            <w:r>
              <w:rPr>
                <w:rFonts w:eastAsia="Arial" w:cs="Arial"/>
                <w:rtl/>
              </w:rPr>
              <w:lastRenderedPageBreak/>
              <w:t>الشركة مقدمة الخدمة</w:t>
            </w:r>
          </w:p>
        </w:tc>
        <w:tc>
          <w:tcPr>
            <w:tcW w:w="5040" w:type="dxa"/>
            <w:vAlign w:val="center"/>
          </w:tcPr>
          <w:p w14:paraId="02BB74D6" w14:textId="77777777">
            <w:pPr>
              <w:bidi/>
              <w:jc w:val="right"/>
            </w:pPr>
            <w:r>
              <w:rPr>
                <w:rFonts w:eastAsia="Arial" w:cs="Arial"/>
                <w:rtl/>
              </w:rPr>
              <w:t>شخص اعتباري مسجّل على المنصة بصفته مقدم خدمة لعرض الخدمات من خلال ممثلين مفوضين.</w:t>
            </w:r>
          </w:p>
        </w:tc>
      </w:tr>
      <w:tr w14:paraId="45E41BA2" w14:textId="77777777">
        <w:trPr>
          <w:jc w:val="right"/>
        </w:trPr>
        <w:tc>
          <w:tcPr>
            <w:tcW w:w="5040" w:type="dxa"/>
            <w:vAlign w:val="center"/>
          </w:tcPr>
          <w:p w14:paraId="350CDF28" w14:textId="77777777">
            <w:pPr>
              <w:bidi/>
              <w:jc w:val="right"/>
            </w:pPr>
            <w:r>
              <w:rPr>
                <w:rFonts w:eastAsia="Arial" w:cs="Arial"/>
                <w:rtl/>
              </w:rPr>
              <w:t>الطلب</w:t>
            </w:r>
          </w:p>
        </w:tc>
        <w:tc>
          <w:tcPr>
            <w:tcW w:w="5040" w:type="dxa"/>
            <w:vAlign w:val="center"/>
          </w:tcPr>
          <w:p w14:paraId="49D9DC45" w14:textId="77777777">
            <w:pPr>
              <w:bidi/>
              <w:jc w:val="right"/>
            </w:pPr>
            <w:r>
              <w:rPr>
                <w:rFonts w:eastAsia="Arial" w:cs="Arial"/>
                <w:rtl/>
              </w:rPr>
              <w:t>طلب خدمة ينشره العميل.</w:t>
            </w:r>
          </w:p>
        </w:tc>
      </w:tr>
      <w:tr w14:paraId="655DB8AF" w14:textId="77777777">
        <w:trPr>
          <w:jc w:val="right"/>
        </w:trPr>
        <w:tc>
          <w:tcPr>
            <w:tcW w:w="5040" w:type="dxa"/>
            <w:vAlign w:val="center"/>
          </w:tcPr>
          <w:p w14:paraId="5B04E426" w14:textId="77777777">
            <w:pPr>
              <w:bidi/>
              <w:jc w:val="right"/>
            </w:pPr>
            <w:r>
              <w:rPr>
                <w:rFonts w:eastAsia="Arial" w:cs="Arial"/>
                <w:rtl/>
              </w:rPr>
              <w:t>الرد</w:t>
            </w:r>
          </w:p>
        </w:tc>
        <w:tc>
          <w:tcPr>
            <w:tcW w:w="5040" w:type="dxa"/>
            <w:vAlign w:val="center"/>
          </w:tcPr>
          <w:p w14:paraId="65B17EE3" w14:textId="77777777">
            <w:pPr>
              <w:bidi/>
              <w:jc w:val="right"/>
            </w:pPr>
            <w:r>
              <w:rPr>
                <w:rFonts w:eastAsia="Arial" w:cs="Arial"/>
                <w:rtl/>
              </w:rPr>
              <w:t>رد مقدم الخدمة على طلب، وقد يتضمن النطاق المقترح والسعر والتوقيت وشروطاً أخرى.</w:t>
            </w:r>
          </w:p>
        </w:tc>
      </w:tr>
      <w:tr w14:paraId="0EBD9848" w14:textId="77777777">
        <w:trPr>
          <w:jc w:val="right"/>
        </w:trPr>
        <w:tc>
          <w:tcPr>
            <w:tcW w:w="5040" w:type="dxa"/>
            <w:vAlign w:val="center"/>
          </w:tcPr>
          <w:p w14:paraId="5782F2D4" w14:textId="77777777">
            <w:pPr>
              <w:bidi/>
              <w:jc w:val="right"/>
            </w:pPr>
            <w:r>
              <w:rPr>
                <w:rFonts w:eastAsia="Arial" w:cs="Arial"/>
                <w:rtl/>
              </w:rPr>
              <w:t>رسوم المنصة</w:t>
            </w:r>
          </w:p>
        </w:tc>
        <w:tc>
          <w:tcPr>
            <w:tcW w:w="5040" w:type="dxa"/>
            <w:vAlign w:val="center"/>
          </w:tcPr>
          <w:p w14:paraId="55AAA660" w14:textId="77777777">
            <w:pPr>
              <w:bidi/>
              <w:jc w:val="right"/>
            </w:pPr>
            <w:r>
              <w:rPr>
                <w:rFonts w:eastAsia="Arial" w:cs="Arial"/>
                <w:rtl/>
              </w:rPr>
              <w:t>رسوم قد تفرضها Al Ayman على مقدمي الخدمات مقابل وظائف مدفوعة محددة في المنصة. وترد الرسوم المطبقة وقواعد استحقاقها في اتفاقية مقدم الخدمة وتُعرض على مقدم الخدمة قبل الإجراء المدفوع ذي الصلة.</w:t>
            </w:r>
          </w:p>
        </w:tc>
      </w:tr>
      <w:tr w14:paraId="72099DDF" w14:textId="77777777">
        <w:trPr>
          <w:jc w:val="right"/>
        </w:trPr>
        <w:tc>
          <w:tcPr>
            <w:tcW w:w="5040" w:type="dxa"/>
            <w:vAlign w:val="center"/>
          </w:tcPr>
          <w:p w14:paraId="1A87A8BF" w14:textId="77777777">
            <w:pPr>
              <w:bidi/>
              <w:jc w:val="right"/>
            </w:pPr>
            <w:r>
              <w:rPr>
                <w:rFonts w:eastAsia="Arial" w:cs="Arial"/>
                <w:rtl/>
              </w:rPr>
              <w:t>سعر الخدمة</w:t>
            </w:r>
          </w:p>
        </w:tc>
        <w:tc>
          <w:tcPr>
            <w:tcW w:w="5040" w:type="dxa"/>
            <w:vAlign w:val="center"/>
          </w:tcPr>
          <w:p w14:paraId="61616FC4" w14:textId="77777777">
            <w:pPr>
              <w:bidi/>
              <w:jc w:val="right"/>
            </w:pPr>
            <w:r>
              <w:rPr>
                <w:rFonts w:eastAsia="Arial" w:cs="Arial"/>
                <w:rtl/>
              </w:rPr>
              <w:t>المبلغ المتفق عليه والمدفوع مباشرةً بين العميل ومقدم الخدمة مقابل الخدمة الأساسية. ولا تقوم Al Ayman بتحصيله وفق نموذج المنصة الحالي.</w:t>
            </w:r>
          </w:p>
        </w:tc>
      </w:tr>
      <w:tr w14:paraId="07C92027" w14:textId="77777777">
        <w:trPr>
          <w:jc w:val="right"/>
        </w:trPr>
        <w:tc>
          <w:tcPr>
            <w:tcW w:w="5040" w:type="dxa"/>
            <w:vAlign w:val="center"/>
          </w:tcPr>
          <w:p w14:paraId="75FA74E3" w14:textId="77777777">
            <w:pPr>
              <w:bidi/>
              <w:jc w:val="right"/>
            </w:pPr>
            <w:r>
              <w:rPr>
                <w:rFonts w:eastAsia="Arial" w:cs="Arial"/>
                <w:rtl/>
              </w:rPr>
              <w:t>المستخدم</w:t>
            </w:r>
          </w:p>
        </w:tc>
        <w:tc>
          <w:tcPr>
            <w:tcW w:w="5040" w:type="dxa"/>
            <w:vAlign w:val="center"/>
          </w:tcPr>
          <w:p w14:paraId="2463127E" w14:textId="77777777">
            <w:pPr>
              <w:bidi/>
              <w:jc w:val="right"/>
            </w:pPr>
            <w:r>
              <w:rPr>
                <w:rFonts w:eastAsia="Arial" w:cs="Arial"/>
                <w:rtl/>
              </w:rPr>
              <w:t>أي شخص طبيعي أو اعتباري يصل إلى المنصة أو يستخدمها بصفته عميلاً أو مقدم خدمة أو كليهما.</w:t>
            </w:r>
          </w:p>
        </w:tc>
      </w:tr>
    </w:tbl>
    <w:p w14:paraId="49E32A5F" w14:textId="77777777">
      <w:pPr>
        <w:pStyle w:val="1"/>
        <w:bidi/>
        <w:jc w:val="right"/>
      </w:pPr>
      <w:r>
        <w:rPr>
          <w:rFonts w:ascii="Arial" w:eastAsia="Arial" w:hAnsi="Arial" w:cs="Arial"/>
          <w:rtl/>
        </w:rPr>
        <w:t>4. الأهلية والحسابات والتحقق</w:t>
      </w:r>
    </w:p>
    <w:p w14:paraId="2ADD4CD0" w14:textId="77777777">
      <w:pPr>
        <w:bidi/>
        <w:jc w:val="right"/>
      </w:pPr>
      <w:r>
        <w:rPr>
          <w:rFonts w:eastAsia="Arial" w:cs="Arial"/>
          <w:rtl/>
        </w:rPr>
        <w:t>4.1 يجب ألا يقل عمرك عن 18 عاماً وأن تكون متمتعاً بالأهلية القانونية اللازمة لإبرام اتفاقات ملزمة من أجل التسجيل واستخدام الخصائص التعاقدية للمنصة.</w:t>
      </w:r>
    </w:p>
    <w:p w14:paraId="06D89A4A" w14:textId="77777777">
      <w:pPr>
        <w:bidi/>
        <w:jc w:val="right"/>
      </w:pPr>
      <w:r>
        <w:rPr>
          <w:rFonts w:eastAsia="Arial" w:cs="Arial"/>
          <w:rtl/>
        </w:rPr>
        <w:t>4.2 يجب عليك تقديم معلومات دقيقة وحديثة وكاملة والمحافظة على تحديث معلومات حسابك. وتتحمل مسؤولية الحفاظ على سرية بيانات تسجيل الدخول وعن النشاط المنفذ من خلال حسابك، باستثناء ما يكون ناتجاً عن Al Ayman.</w:t>
      </w:r>
    </w:p>
    <w:p w14:paraId="3EA3AA60" w14:textId="77777777">
      <w:pPr>
        <w:bidi/>
        <w:jc w:val="right"/>
      </w:pPr>
      <w:r>
        <w:rPr>
          <w:rFonts w:eastAsia="Arial" w:cs="Arial"/>
          <w:rtl/>
        </w:rPr>
        <w:t>4.3 يقر الشخص الذي يسجل حساباً أو يستخدمه نيابة عن شخص اعتباري بأنه مخول بالتصرف نيابة عنه وإلزامه.</w:t>
      </w:r>
    </w:p>
    <w:p w14:paraId="27CC0622" w14:textId="77777777">
      <w:pPr>
        <w:bidi/>
        <w:jc w:val="right"/>
      </w:pPr>
      <w:r>
        <w:rPr>
          <w:rFonts w:eastAsia="Arial" w:cs="Arial"/>
          <w:rtl/>
        </w:rPr>
        <w:t>4.4 يجب على مقدمي الخدمات الحصول على جميع التراخيص والتصاريح والتسجيلات والموافقات المطلوبة بموجب القوانين الاتحادية أو المحلية المعمول بها للخدمات التي يقدمونها، والمحافظة على سريانها. ويجوز لـ Al Ayman طلب ما يثبت ذلك وتقييد الوصول إلى فئات خدمات معينة أو تعليق وظائف المنصة ذات الصلة إذا لم يتم تقديم أدلة مُرضية.</w:t>
      </w:r>
    </w:p>
    <w:p w14:paraId="59141759" w14:textId="77777777">
      <w:pPr>
        <w:bidi/>
        <w:jc w:val="right"/>
      </w:pPr>
      <w:r>
        <w:rPr>
          <w:rFonts w:eastAsia="Arial" w:cs="Arial"/>
          <w:rtl/>
        </w:rPr>
        <w:t>4.5 يجوز لـ Al Ayman إجراء عمليات تحقق معقولة من الهوية أو النشاط التجاري أو التراخيص أو لمنع الاحتيال أو لأغراض الامتثال، متى كان ذلك ضرورياً لتشغيل المنصة أو حماية المستخدمين أو الامتثال للقانون المعمول به. وتتم معالجة البيانات الشخصية وفقاً لسياسة الخصوصية.</w:t>
      </w:r>
    </w:p>
    <w:p w14:paraId="72D098BB" w14:textId="77777777">
      <w:pPr>
        <w:pStyle w:val="1"/>
        <w:bidi/>
        <w:jc w:val="right"/>
      </w:pPr>
      <w:r>
        <w:rPr>
          <w:rFonts w:ascii="Arial" w:eastAsia="Arial" w:hAnsi="Arial" w:cs="Arial"/>
          <w:rtl/>
        </w:rPr>
        <w:t>5. الطلبات والردود واتفاقيات الخدمة</w:t>
      </w:r>
    </w:p>
    <w:p w14:paraId="47803140" w14:textId="77777777">
      <w:pPr>
        <w:bidi/>
        <w:jc w:val="right"/>
      </w:pPr>
      <w:r>
        <w:rPr>
          <w:rFonts w:eastAsia="Arial" w:cs="Arial"/>
          <w:rtl/>
        </w:rPr>
        <w:t>5.1 يجوز للعميل نشر طلب يتضمن المعلومات التي تطلبها المنصة. ويجوز لمقدمي الخدمات تقديم ردود على الطلبات بشأن الخدمات التي يحق لهم قانوناً تقديمها.</w:t>
      </w:r>
    </w:p>
    <w:p w14:paraId="1BEE2CB5" w14:textId="77777777">
      <w:pPr>
        <w:bidi/>
        <w:jc w:val="right"/>
      </w:pPr>
      <w:r>
        <w:rPr>
          <w:rFonts w:eastAsia="Arial" w:cs="Arial"/>
          <w:rtl/>
        </w:rPr>
        <w:t>5.2 التسجيل ونشر الطلب وتلقي الردود واختيار مقدم الخدمة مجانية للعملاء. ولا تفرض Al Ayman على العملاء رسوماً مقابل وظائف المنصة هذه.</w:t>
      </w:r>
    </w:p>
    <w:p w14:paraId="1B35E809" w14:textId="77777777">
      <w:pPr>
        <w:bidi/>
        <w:jc w:val="right"/>
      </w:pPr>
      <w:r>
        <w:rPr>
          <w:rFonts w:eastAsia="Arial" w:cs="Arial"/>
          <w:rtl/>
        </w:rPr>
        <w:t>5.3 تخضع بعض وظائف المنصة التي يستخدمها مقدمو الخدمات لرسوم المنصة. وتخضع رسوم مقدم الخدمة، والأحداث التي تستوجبها، وقواعد المحفظة، وشروط الاسترداد المطبقة لاتفاقية مقدم الخدمة وسياسة الاسترداد. ويُعرض الرسم المطبق على مقدم الخدمة قبل إتمام الإجراء المدفوع ذي الصلة.</w:t>
      </w:r>
    </w:p>
    <w:p w14:paraId="7E13514C" w14:textId="77777777">
      <w:pPr>
        <w:bidi/>
        <w:jc w:val="right"/>
      </w:pPr>
      <w:r>
        <w:rPr>
          <w:rFonts w:eastAsia="Arial" w:cs="Arial"/>
          <w:rtl/>
        </w:rPr>
        <w:t>5.4 عندما يقبل العميل رد مقدم الخدمة، تُبرم اتفاقية خدمة مباشرة بين ذلك العميل ومقدم الخدمة. وقد يشكل الطلب والرد المقبول ومحادثات المنصة وأي شروط إضافية متفق عليها بينهما دليلاً على اتفاقية الخدمة.</w:t>
      </w:r>
    </w:p>
    <w:p w14:paraId="4622BB02" w14:textId="77777777">
      <w:pPr>
        <w:bidi/>
        <w:jc w:val="right"/>
      </w:pPr>
      <w:r>
        <w:rPr>
          <w:rFonts w:eastAsia="Arial" w:cs="Arial"/>
          <w:rtl/>
        </w:rPr>
        <w:t>5.5 يكون العميل ومقدم الخدمة مسؤولين عن الاتفاق على الشروط الجوهرية لاتفاقية الخدمة بينهما، بما في ذلك نطاق الخدمة والسعر وشروط الدفع والتوقيت والمواد وشروط الإلغاء وأي ضمانات أو شروط أخرى ذات صلة بالخدمة.</w:t>
      </w:r>
    </w:p>
    <w:p w14:paraId="3D6D12DE" w14:textId="77777777">
      <w:pPr>
        <w:bidi/>
        <w:jc w:val="right"/>
      </w:pPr>
      <w:r>
        <w:rPr>
          <w:rFonts w:eastAsia="Arial" w:cs="Arial"/>
          <w:rtl/>
        </w:rPr>
        <w:t>5.6 يتم ترتيب وتسوية دفع سعر الخدمة الأساسية مباشرةً بين العميل ومقدم الخدمة خارج المنصة. ووفق نموذج المنصة الحالي، لا تقوم Al Ayman بتحصيل سعر الخدمة الأساسية أو الاحتفاظ به أو اقتطاع أي عمولة منه.</w:t>
      </w:r>
    </w:p>
    <w:p w14:paraId="1C79B201" w14:textId="77777777">
      <w:pPr>
        <w:bidi/>
        <w:jc w:val="right"/>
      </w:pPr>
      <w:r>
        <w:rPr>
          <w:rFonts w:eastAsia="Arial" w:cs="Arial"/>
          <w:rtl/>
        </w:rPr>
        <w:t>5.7 يجوز إلغاء الطلبات وفقاً للوظائف المتاحة على المنصة. وتخضع معاملة رسوم المنصة الخاصة بمقدم الخدمة بعد الإلغاء لاتفاقية مقدم الخدمة وسياسة الاسترداد.</w:t>
      </w:r>
    </w:p>
    <w:p w14:paraId="03AEA4A9" w14:textId="77777777">
      <w:pPr>
        <w:pStyle w:val="1"/>
        <w:bidi/>
        <w:jc w:val="right"/>
      </w:pPr>
      <w:r>
        <w:rPr>
          <w:rFonts w:ascii="Arial" w:eastAsia="Arial" w:hAnsi="Arial" w:cs="Arial"/>
          <w:rtl/>
        </w:rPr>
        <w:lastRenderedPageBreak/>
        <w:t>6. رسوم مقدم الخدمة واتفاقية مقدم الخدمة</w:t>
      </w:r>
    </w:p>
    <w:p w14:paraId="5DEFA822" w14:textId="77777777">
      <w:pPr>
        <w:bidi/>
        <w:jc w:val="right"/>
      </w:pPr>
      <w:r>
        <w:rPr>
          <w:rFonts w:eastAsia="Arial" w:cs="Arial"/>
          <w:rtl/>
        </w:rPr>
        <w:t>6.1 لا يحتاج العملاء إلى محفظة ولا تُفرض عليهم رسوم المنصة وفق نموذج المنصة الحالي.</w:t>
      </w:r>
    </w:p>
    <w:p w14:paraId="4E11F7CB" w14:textId="77777777">
      <w:pPr>
        <w:bidi/>
        <w:jc w:val="right"/>
      </w:pPr>
      <w:r>
        <w:rPr>
          <w:rFonts w:eastAsia="Arial" w:cs="Arial"/>
          <w:rtl/>
        </w:rPr>
        <w:t>6.2 قد يُطلب من مقدمي الخدمات الاحتفاظ بمحفظة على المنصة أو برصيد حساب مماثل لدفع رسوم المنصة المطبقة.</w:t>
      </w:r>
    </w:p>
    <w:p w14:paraId="225BFF9D" w14:textId="77777777">
      <w:pPr>
        <w:bidi/>
        <w:jc w:val="right"/>
      </w:pPr>
      <w:r>
        <w:rPr>
          <w:rFonts w:eastAsia="Arial" w:cs="Arial"/>
          <w:rtl/>
        </w:rPr>
        <w:t>6.3 تُحدد الرسوم الخاصة بمقدم الخدمة وقواعد تمويل المحفظة وسحب الأموال منها والاستردادات وتغييرات الرسوم وشروط الدفع الأخرى المطبقة على مقدمي الخدمات في اتفاقية مقدم الخدمة وسياسة الاسترداد.</w:t>
      </w:r>
    </w:p>
    <w:p w14:paraId="3E69EDD8" w14:textId="77777777">
      <w:pPr>
        <w:bidi/>
        <w:jc w:val="right"/>
      </w:pPr>
      <w:r>
        <w:rPr>
          <w:rFonts w:eastAsia="Arial" w:cs="Arial"/>
          <w:rtl/>
        </w:rPr>
        <w:t>6.4 يجب إتاحة اتفاقية مقدم الخدمة المعمول بها لمقدم الخدمة، ويجب عليه قبولها إلكترونياً قبل تفعيل أو استخدام الوظائف المدفوعة الخاصة بمقدمي الخدمات. وتظل النسخة السارية حينئذ من اتفاقية مقدم الخدمة متاحة من خلال حساب مقدم الخدمة.</w:t>
      </w:r>
    </w:p>
    <w:p w14:paraId="00D66013" w14:textId="77777777">
      <w:pPr>
        <w:bidi/>
        <w:jc w:val="right"/>
      </w:pPr>
      <w:r>
        <w:rPr>
          <w:rFonts w:eastAsia="Arial" w:cs="Arial"/>
          <w:rtl/>
        </w:rPr>
        <w:t>6.5 يجوز لـ Al Ayman تعديل رسوم المنصة الخاصة بمقدمي الخدمات بأثر مستقبلي وفقاً لاتفاقية مقدم الخدمة والقانون المعمول به. ويُفصح عن الرسم المطبق على أي إجراء قبل إتمام ذلك الإجراء المدفوع.</w:t>
      </w:r>
    </w:p>
    <w:p w14:paraId="3B305BE5" w14:textId="77777777">
      <w:pPr>
        <w:bidi/>
        <w:jc w:val="right"/>
      </w:pPr>
      <w:r>
        <w:rPr>
          <w:rFonts w:eastAsia="Arial" w:cs="Arial"/>
          <w:rtl/>
        </w:rPr>
        <w:t>6.6 يظل كل من العميل ومقدم الخدمة مسؤولاً عن ترتيبات الدفع وأي التزامات ضريبية تنشأ عن اتفاقية الخدمة المبرمة بينهما.</w:t>
      </w:r>
    </w:p>
    <w:p w14:paraId="4942335D" w14:textId="77777777">
      <w:pPr>
        <w:pStyle w:val="1"/>
        <w:bidi/>
        <w:jc w:val="right"/>
      </w:pPr>
      <w:r>
        <w:rPr>
          <w:rFonts w:ascii="Arial" w:eastAsia="Arial" w:hAnsi="Arial" w:cs="Arial"/>
          <w:rtl/>
        </w:rPr>
        <w:t>7. مسؤوليات مقدمي الخدمات</w:t>
      </w:r>
    </w:p>
    <w:p w14:paraId="0BB94D8E" w14:textId="77777777">
      <w:pPr>
        <w:bidi/>
        <w:jc w:val="right"/>
      </w:pPr>
      <w:r>
        <w:rPr>
          <w:rFonts w:eastAsia="Arial" w:cs="Arial"/>
          <w:rtl/>
        </w:rPr>
        <w:t>7.1 يكون مقدمو الخدمات مسؤولين عن ضمان أن كل خدمة يعلنون عنها أو يعرضونها أو يؤدونها مشروعة وتقع ضمن نطاق جميع التراخيص والتصاريح والتسجيلات المهنية والموافقات الأخرى المطبقة عليهم.</w:t>
      </w:r>
    </w:p>
    <w:p w14:paraId="5EE10119" w14:textId="77777777">
      <w:pPr>
        <w:bidi/>
        <w:jc w:val="right"/>
      </w:pPr>
      <w:r>
        <w:rPr>
          <w:rFonts w:eastAsia="Arial" w:cs="Arial"/>
          <w:rtl/>
        </w:rPr>
        <w:t>7.2 يجب على مقدمي الخدمات تقديم معلومات دقيقة عن هويتهم وأعمالهم ومؤهلاتهم وخبراتهم وخدماتهم وحالة تراخيصهم، وتحديث أي تغييرات جوهرية على الفور.</w:t>
      </w:r>
    </w:p>
    <w:p w14:paraId="78F404FA" w14:textId="77777777">
      <w:pPr>
        <w:bidi/>
        <w:jc w:val="right"/>
      </w:pPr>
      <w:r>
        <w:rPr>
          <w:rFonts w:eastAsia="Arial" w:cs="Arial"/>
          <w:rtl/>
        </w:rPr>
        <w:t>7.3 يكون مقدمو الخدمات مسؤولين عن أداء خدماتهم وجودتها وسلامتها ومشروعيتها وعن الامتثال للمتطلبات المهنية والصحية ومتطلبات السلامة والعمل والضرائب وغيرها من المتطلبات التنظيمية المعمول بها.</w:t>
      </w:r>
    </w:p>
    <w:p w14:paraId="446FF669" w14:textId="77777777">
      <w:pPr>
        <w:bidi/>
        <w:jc w:val="right"/>
      </w:pPr>
      <w:r>
        <w:rPr>
          <w:rFonts w:eastAsia="Arial" w:cs="Arial"/>
          <w:rtl/>
        </w:rPr>
        <w:t>7.4 ترد الالتزامات الإضافية المطبقة على مقدمي الخدمات في اتفاقية مقدم الخدمة. ولا تنطبق اتفاقية مقدم الخدمة إلا على مقدمي الخدمات الذين يقبلونها.</w:t>
      </w:r>
    </w:p>
    <w:p w14:paraId="164D0346" w14:textId="77777777">
      <w:pPr>
        <w:pStyle w:val="1"/>
        <w:bidi/>
        <w:jc w:val="right"/>
      </w:pPr>
      <w:r>
        <w:rPr>
          <w:rFonts w:ascii="Arial" w:eastAsia="Arial" w:hAnsi="Arial" w:cs="Arial"/>
          <w:rtl/>
        </w:rPr>
        <w:t>8. سلوك المستخدم</w:t>
      </w:r>
    </w:p>
    <w:p w14:paraId="238341D7" w14:textId="77777777">
      <w:pPr>
        <w:bidi/>
        <w:jc w:val="right"/>
      </w:pPr>
      <w:r>
        <w:rPr>
          <w:rFonts w:eastAsia="Arial" w:cs="Arial"/>
          <w:rtl/>
        </w:rPr>
        <w:t>يجب على المستخدمين عدم إساءة استخدام المنصة. وعلى وجه الخصوص، لا يجوز للمستخدمين:</w:t>
      </w:r>
    </w:p>
    <w:p w14:paraId="7D818B6D" w14:textId="77777777">
      <w:pPr>
        <w:pStyle w:val="a0"/>
        <w:bidi/>
        <w:ind w:left="317" w:hanging="173"/>
        <w:jc w:val="right"/>
      </w:pPr>
      <w:r>
        <w:rPr>
          <w:rFonts w:eastAsia="Arial" w:cs="Arial"/>
          <w:rtl/>
        </w:rPr>
        <w:t>تقديم معلومات كاذبة أو مضللة أو احتيالية بشأن الهوية أو النشاط التجاري أو الترخيص أو الطلب أو الرد أو التقييم أو المراجعة؛</w:t>
      </w:r>
    </w:p>
    <w:p w14:paraId="6DCEC8E2" w14:textId="77777777">
      <w:pPr>
        <w:pStyle w:val="a0"/>
        <w:bidi/>
        <w:ind w:left="317" w:hanging="173"/>
        <w:jc w:val="right"/>
      </w:pPr>
      <w:r>
        <w:rPr>
          <w:rFonts w:eastAsia="Arial" w:cs="Arial"/>
          <w:rtl/>
        </w:rPr>
        <w:t>عرض أو طلب خدمات غير مشروعة أو خدمات لا يتوفر بشأنها ترخيص أو موافقة مطلوبة؛</w:t>
      </w:r>
    </w:p>
    <w:p w14:paraId="30FD82B5" w14:textId="77777777">
      <w:pPr>
        <w:pStyle w:val="a0"/>
        <w:bidi/>
        <w:ind w:left="317" w:hanging="173"/>
        <w:jc w:val="right"/>
      </w:pPr>
      <w:r>
        <w:rPr>
          <w:rFonts w:eastAsia="Arial" w:cs="Arial"/>
          <w:rtl/>
        </w:rPr>
        <w:t>استخدام المنصة للاحتيال أو غسل الأموال أو تمويل الإرهاب أو المعاملات غير المشروعة أو أي نشاط إجرامي آخر؛</w:t>
      </w:r>
    </w:p>
    <w:p w14:paraId="088C364B" w14:textId="77777777">
      <w:pPr>
        <w:pStyle w:val="a0"/>
        <w:bidi/>
        <w:ind w:left="317" w:hanging="173"/>
        <w:jc w:val="right"/>
      </w:pPr>
      <w:r>
        <w:rPr>
          <w:rFonts w:eastAsia="Arial" w:cs="Arial"/>
          <w:rtl/>
        </w:rPr>
        <w:t>مضايقة شخص آخر أو تهديده أو الإساءة إليه أو التمييز ضده أو التشهير به على نحو غير مشروع؛</w:t>
      </w:r>
    </w:p>
    <w:p w14:paraId="060B9B3D" w14:textId="77777777">
      <w:pPr>
        <w:pStyle w:val="a0"/>
        <w:bidi/>
        <w:ind w:left="317" w:hanging="173"/>
        <w:jc w:val="right"/>
      </w:pPr>
      <w:r>
        <w:rPr>
          <w:rFonts w:eastAsia="Arial" w:cs="Arial"/>
          <w:rtl/>
        </w:rPr>
        <w:t>تحميل برمجيات ضارة، أو محاولة الوصول غير المصرح به، أو التدخل في أمن المنصة، أو جمع بيانات المنصة آلياً دون إذن، أو تعطيل تشغيلها بأي طريقة أخرى؛</w:t>
      </w:r>
    </w:p>
    <w:p w14:paraId="064F2B49" w14:textId="77777777">
      <w:pPr>
        <w:pStyle w:val="a0"/>
        <w:bidi/>
        <w:ind w:left="317" w:hanging="173"/>
        <w:jc w:val="right"/>
      </w:pPr>
      <w:r>
        <w:rPr>
          <w:rFonts w:eastAsia="Arial" w:cs="Arial"/>
          <w:rtl/>
        </w:rPr>
        <w:t>انتهاك حقوق الملكية الفكرية أو الخصوصية أو غيرها من حقوق أي شخص آخر؛</w:t>
      </w:r>
    </w:p>
    <w:p w14:paraId="263C44DF" w14:textId="77777777">
      <w:pPr>
        <w:pStyle w:val="a0"/>
        <w:bidi/>
        <w:ind w:left="317" w:hanging="173"/>
        <w:jc w:val="right"/>
      </w:pPr>
      <w:r>
        <w:rPr>
          <w:rFonts w:eastAsia="Arial" w:cs="Arial"/>
          <w:rtl/>
        </w:rPr>
        <w:t>إرسال رسائل مزعجة غير مشروعة أو استخدام المعلومات التي يتم الحصول عليها عبر المنصة لأغراض تسويقية غير مصرح بها؛ أو</w:t>
      </w:r>
    </w:p>
    <w:p w14:paraId="712ADF13" w14:textId="77777777">
      <w:pPr>
        <w:pStyle w:val="a0"/>
        <w:bidi/>
        <w:ind w:left="317" w:hanging="173"/>
        <w:jc w:val="right"/>
      </w:pPr>
      <w:r>
        <w:rPr>
          <w:rFonts w:eastAsia="Arial" w:cs="Arial"/>
          <w:rtl/>
        </w:rPr>
        <w:t>مشاركة معلومات الاتصال قبل قبول الرد إذا كان الغرض هو التحايل على رسوم المنصة المطبقة أو قواعد المنصة.</w:t>
      </w:r>
    </w:p>
    <w:p w14:paraId="14BCC15C" w14:textId="77777777">
      <w:pPr>
        <w:bidi/>
        <w:jc w:val="right"/>
      </w:pPr>
      <w:r>
        <w:rPr>
          <w:rFonts w:eastAsia="Arial" w:cs="Arial"/>
          <w:rtl/>
        </w:rPr>
        <w:t>يجوز لـ Al Ayman إزالة المحتوى أو تقييد الوظائف أو تعليق الحساب أو إنهاء الوصول متى كان ذلك ضرورياً بصورة معقولة لإنفاذ هذه الشروط أو حماية المستخدمين أو المنصة أو التحقيق في سوء سلوك مشتبه به أو الامتثال للقانون المعمول به. وتتم معاملة مبالغ محفظة مقدم الخدمة وفقاً لاتفاقية مقدم الخدمة وسياسة الاسترداد والقانون المعمول به؛ ولا يترتب على مجرد خرق هذه الشروط انتقال ملكية الأموال غير المستخدمة الخاصة بمقدم الخدمة إلى Al Ayman.</w:t>
      </w:r>
    </w:p>
    <w:p w14:paraId="285297A7" w14:textId="77777777">
      <w:pPr>
        <w:pStyle w:val="1"/>
        <w:bidi/>
        <w:jc w:val="right"/>
      </w:pPr>
      <w:r>
        <w:rPr>
          <w:rFonts w:ascii="Arial" w:eastAsia="Arial" w:hAnsi="Arial" w:cs="Arial"/>
          <w:rtl/>
        </w:rPr>
        <w:t>9. حقوق المستهلك</w:t>
      </w:r>
    </w:p>
    <w:p w14:paraId="0390A21C" w14:textId="77777777">
      <w:pPr>
        <w:bidi/>
        <w:jc w:val="right"/>
      </w:pPr>
      <w:r>
        <w:rPr>
          <w:rFonts w:eastAsia="Arial" w:cs="Arial"/>
          <w:rtl/>
        </w:rPr>
        <w:t>9.1 يحتفظ العملاء الذين تنطبق عليهم صفة المستهلك بجميع الحقوق الآمرة المتاحة لهم بموجب قوانين حماية المستهلك المعمول بها في دولة الإمارات. ولا يُقصد بأي حكم في هذه الشروط أو أي سياسة للمنصة التنازل عن حق للمستهلك لا يجوز التنازل عنه أو تقييده.</w:t>
      </w:r>
    </w:p>
    <w:p w14:paraId="5EA7C7BD" w14:textId="77777777">
      <w:pPr>
        <w:bidi/>
        <w:jc w:val="right"/>
      </w:pPr>
      <w:r>
        <w:rPr>
          <w:rFonts w:eastAsia="Arial" w:cs="Arial"/>
          <w:rtl/>
        </w:rPr>
        <w:t>9.2 عندما تتعلق الشكوى بالخدمة الأساسية التي يقدمها مقدم الخدمة، يظل مقدم الخدمة مسؤولاً عن الالتزامات المفروضة عليه بموجب القانون المعمول به واتفاقية الخدمة. ويجوز لـ Al Ayman تقديم مساعدة معقولة على مستوى المنصة عند الاقتضاء، دون أن تصبح طرفاً في اتفاقية الخدمة.</w:t>
      </w:r>
    </w:p>
    <w:p w14:paraId="65A68702" w14:textId="77777777">
      <w:pPr>
        <w:bidi/>
        <w:jc w:val="right"/>
      </w:pPr>
      <w:r>
        <w:rPr>
          <w:rFonts w:eastAsia="Arial" w:cs="Arial"/>
          <w:rtl/>
        </w:rPr>
        <w:lastRenderedPageBreak/>
        <w:t>9.3 يجوز للمستهلك أيضاً استخدام قنوات الشكاوى أو تسوية المنازعات التي تتيحها الجهة المختصة بحماية المستهلك في دولة الإمارات، حيثما ينطبق ذلك.</w:t>
      </w:r>
    </w:p>
    <w:p w14:paraId="40964067" w14:textId="77777777">
      <w:pPr>
        <w:pStyle w:val="1"/>
        <w:bidi/>
        <w:jc w:val="right"/>
      </w:pPr>
      <w:r>
        <w:rPr>
          <w:rFonts w:ascii="Arial" w:eastAsia="Arial" w:hAnsi="Arial" w:cs="Arial"/>
          <w:rtl/>
        </w:rPr>
        <w:t>10. المحتوى والمراجعات والملكية الفكرية</w:t>
      </w:r>
    </w:p>
    <w:p w14:paraId="5F317FBD" w14:textId="77777777">
      <w:pPr>
        <w:bidi/>
        <w:jc w:val="right"/>
      </w:pPr>
      <w:r>
        <w:rPr>
          <w:rFonts w:eastAsia="Arial" w:cs="Arial"/>
          <w:rtl/>
        </w:rPr>
        <w:t>10.1 يحتفظ المستخدمون بملكية المحتوى الذي يقدمونه. وبإرسال المحتوى، يمنح المستخدم Al Ayman ترخيصاً غير حصري وعالمياً ودون مقابل لاستضافة ذلك المحتوى وتخزينه ونسخه وعرضه واستخدامه بأي طريقة أخرى فقط بالقدر المعقول اللازم لتشغيل المنصة وتأمينها وتحسينها وتوفير الوظائف التي طلبها المستخدم، وذلك مع مراعاة سياسة الخصوصية عندما يتضمن المحتوى بيانات شخصية. ويتطلب أي استخدام تسويقي منفصل بصورة جوهرية لمحتوى المستخدم غير العام أساساً قانونياً مناسباً أو إذناً.</w:t>
      </w:r>
    </w:p>
    <w:p w14:paraId="08FE6B14" w14:textId="77777777">
      <w:pPr>
        <w:bidi/>
        <w:jc w:val="right"/>
      </w:pPr>
      <w:r>
        <w:rPr>
          <w:rFonts w:eastAsia="Arial" w:cs="Arial"/>
          <w:rtl/>
        </w:rPr>
        <w:t>10.2 يجب أن تكون لدى المستخدمين الحقوق اللازمة لتقديم محتواهم، ولا يجوز لهم تحميل مواد غير مشروعة أو تنتهك حقوق الغير.</w:t>
      </w:r>
    </w:p>
    <w:p w14:paraId="235E8395" w14:textId="77777777">
      <w:pPr>
        <w:bidi/>
        <w:jc w:val="right"/>
      </w:pPr>
      <w:r>
        <w:rPr>
          <w:rFonts w:eastAsia="Arial" w:cs="Arial"/>
          <w:rtl/>
        </w:rPr>
        <w:t>10.3 يجب أن تعكس المراجعات تجارب حقيقية، ولا يجوز اختلاقها أو شراؤها أو التلاعب بها أو تقديمها مقابل منفعة غير مفصح عنها. ويجوز لـ Al Ayman الإشراف على المراجعات أو إزالتها إذا خالفت هذه الشروط أو القانون المعمول به.</w:t>
      </w:r>
    </w:p>
    <w:p w14:paraId="7BEAB022" w14:textId="77777777">
      <w:pPr>
        <w:bidi/>
        <w:jc w:val="right"/>
      </w:pPr>
      <w:r>
        <w:rPr>
          <w:rFonts w:eastAsia="Arial" w:cs="Arial"/>
          <w:rtl/>
        </w:rPr>
        <w:t>10.4 إن برمجيات المنصة وعلاماتها التجارية وتصميمها وغيرها من المواد المملوكة لـ Al Ayman أو للمرخصين لها محمية بموجب قوانين الملكية الفكرية المعمول بها. ولا تُمنح أي حقوق باستثناء الحق المحدود في استخدام المنصة وفقاً لهذه الشروط.</w:t>
      </w:r>
    </w:p>
    <w:p w14:paraId="757413B7" w14:textId="77777777">
      <w:pPr>
        <w:pStyle w:val="1"/>
        <w:bidi/>
        <w:jc w:val="right"/>
      </w:pPr>
      <w:r>
        <w:rPr>
          <w:rFonts w:ascii="Arial" w:eastAsia="Arial" w:hAnsi="Arial" w:cs="Arial"/>
          <w:rtl/>
        </w:rPr>
        <w:t>11. الخصوصية والاتصالات</w:t>
      </w:r>
    </w:p>
    <w:p w14:paraId="01254DFE" w14:textId="77777777">
      <w:pPr>
        <w:bidi/>
        <w:jc w:val="right"/>
      </w:pPr>
      <w:r>
        <w:rPr>
          <w:rFonts w:eastAsia="Arial" w:cs="Arial"/>
          <w:rtl/>
        </w:rPr>
        <w:t>11.1 تعالج Al Ayman البيانات الشخصية وفقاً لسياسة الخصوصية الخاصة بها. وترد تفاصيل ملفات تعريف الارتباط والتقنيات المماثلة في سياسة ملفات تعريف الارتباط.</w:t>
      </w:r>
    </w:p>
    <w:p w14:paraId="0F2DBC27" w14:textId="77777777">
      <w:pPr>
        <w:bidi/>
        <w:jc w:val="right"/>
      </w:pPr>
      <w:r>
        <w:rPr>
          <w:rFonts w:eastAsia="Arial" w:cs="Arial"/>
          <w:rtl/>
        </w:rPr>
        <w:t>11.2 قد تخضع محادثات المنصة وغيرها من الاتصالات لإشراف آلي أو بشري متناسب لأغراض الأمن ومنع الاحتيال وإنفاذ قواعد المنصة ومعالجة الشكاوى والامتثال للقانون المعمول به، وفقاً لما هو موضح في سياسة الخصوصية.</w:t>
      </w:r>
    </w:p>
    <w:p w14:paraId="6897E475" w14:textId="77777777">
      <w:pPr>
        <w:bidi/>
        <w:jc w:val="right"/>
      </w:pPr>
      <w:r>
        <w:rPr>
          <w:rFonts w:eastAsia="Arial" w:cs="Arial"/>
          <w:rtl/>
        </w:rPr>
        <w:t>11.3 يجوز إرسال الاتصالات المتعلقة بالمعاملات والخدمة واللازمة لتشغيل الحساب أو توفير وظائف المنصة المطلوبة إلكترونياً. وتتم إدارة الاتصالات التسويقية وفقاً للقانون المعمول به وتفضيلات المستخدم المتعلقة بالاتصالات.</w:t>
      </w:r>
    </w:p>
    <w:p w14:paraId="26243C00" w14:textId="77777777">
      <w:pPr>
        <w:pStyle w:val="1"/>
        <w:bidi/>
        <w:jc w:val="right"/>
      </w:pPr>
      <w:r>
        <w:rPr>
          <w:rFonts w:ascii="Arial" w:eastAsia="Arial" w:hAnsi="Arial" w:cs="Arial"/>
          <w:rtl/>
        </w:rPr>
        <w:t>12. التوافر وإخلاء المسؤولية</w:t>
      </w:r>
    </w:p>
    <w:p w14:paraId="571EA5EA" w14:textId="77777777">
      <w:pPr>
        <w:bidi/>
        <w:jc w:val="right"/>
      </w:pPr>
      <w:r>
        <w:rPr>
          <w:rFonts w:eastAsia="Arial" w:cs="Arial"/>
          <w:rtl/>
        </w:rPr>
        <w:t>12.1 ستبذل Al Ayman جهوداً معقولة لتشغيل المنصة، إلا أنها لا تضمن الوصول دون انقطاع أو أخطاء أو التوافر المستمر. وقد تؤثر أعمال الصيانة أو الحوادث الأمنية أو إخفاق خدمات الغير أو الأحداث الخارجة عن نطاق السيطرة المعقولة في التوافر.</w:t>
      </w:r>
    </w:p>
    <w:p w14:paraId="4DCFDAA6" w14:textId="77777777">
      <w:pPr>
        <w:bidi/>
        <w:jc w:val="right"/>
      </w:pPr>
      <w:r>
        <w:rPr>
          <w:rFonts w:eastAsia="Arial" w:cs="Arial"/>
          <w:rtl/>
        </w:rPr>
        <w:t>12.2 إلى أقصى حد يسمح به القانون المعمول به، لا تضمن Al Ayman هوية أو موثوقية أو جودة أو سلامة أو مشروعية أو توافر أو ملاءمة أي مستخدم أو خدمة أساسية لمجرد ظهور المستخدم أو الخدمة على المنصة.</w:t>
      </w:r>
    </w:p>
    <w:p w14:paraId="3A03E793" w14:textId="77777777">
      <w:pPr>
        <w:bidi/>
        <w:jc w:val="right"/>
      </w:pPr>
      <w:r>
        <w:rPr>
          <w:rFonts w:eastAsia="Arial" w:cs="Arial"/>
          <w:rtl/>
        </w:rPr>
        <w:t>12.3 يكون المستخدمون مسؤولين عن ممارسة قدر معقول من التقدير قبل إبرام اتفاقية الخدمة وعن التحقق من المعلومات الجوهرية لقرارهم، بما في ذلك التراخيص حيثما يكون ذلك ذا صلة.</w:t>
      </w:r>
    </w:p>
    <w:p w14:paraId="42D7C101" w14:textId="77777777">
      <w:pPr>
        <w:pStyle w:val="1"/>
        <w:bidi/>
        <w:jc w:val="right"/>
      </w:pPr>
      <w:r>
        <w:rPr>
          <w:rFonts w:ascii="Arial" w:eastAsia="Arial" w:hAnsi="Arial" w:cs="Arial"/>
          <w:rtl/>
        </w:rPr>
        <w:t>13. المسؤولية والتعويض</w:t>
      </w:r>
    </w:p>
    <w:p w14:paraId="6A140B98" w14:textId="77777777">
      <w:pPr>
        <w:bidi/>
        <w:jc w:val="right"/>
      </w:pPr>
      <w:r>
        <w:rPr>
          <w:rFonts w:eastAsia="Arial" w:cs="Arial"/>
          <w:rtl/>
        </w:rPr>
        <w:t>13.1 لا يستبعد أي حكم في هذه الشروط المسؤولية أو يحد منها بالقدر الذي يحظر فيه القانون المعمول به في دولة الإمارات مثل هذا الاستبعاد أو التقييد.</w:t>
      </w:r>
    </w:p>
    <w:p w14:paraId="1E0DA3F5" w14:textId="77777777">
      <w:pPr>
        <w:bidi/>
        <w:jc w:val="right"/>
      </w:pPr>
      <w:r>
        <w:rPr>
          <w:rFonts w:eastAsia="Arial" w:cs="Arial"/>
          <w:rtl/>
        </w:rPr>
        <w:t>13.2 مع مراعاة البند 13.1، تكون Al Ayman مسؤولة عن التزاماتها المتعلقة بتشغيل المنصة، إلا أنها لا تكون مسؤولة عن تنفيذ العميل أو مقدم الخدمة لاتفاقية الخدمة أو عدم تنفيذها، أو عن الخسائر الناشئة حصراً عن أفعال أو امتناعات مستخدم آخر.</w:t>
      </w:r>
    </w:p>
    <w:p w14:paraId="0C57AA66" w14:textId="77777777">
      <w:pPr>
        <w:bidi/>
        <w:jc w:val="right"/>
      </w:pPr>
      <w:r>
        <w:rPr>
          <w:rFonts w:eastAsia="Arial" w:cs="Arial"/>
          <w:rtl/>
        </w:rPr>
        <w:t>13.3 بالقدر الذي يسمح به القانون المعمول به، لا تكون Al Ayman مسؤولة عن الخسائر غير المباشرة أو التبعية، أو خسارة الأرباح، أو ضياع فرص الأعمال، أو الخسائر الناجمة عن ظروف خارجة عن نطاق سيطرتها المعقولة.</w:t>
      </w:r>
    </w:p>
    <w:p w14:paraId="1A30CDF8" w14:textId="77777777">
      <w:pPr>
        <w:bidi/>
        <w:jc w:val="right"/>
      </w:pPr>
      <w:r>
        <w:rPr>
          <w:rFonts w:eastAsia="Arial" w:cs="Arial"/>
          <w:rtl/>
        </w:rPr>
        <w:t>13.4 يكون المستخدم مسؤولاً عن الخسائر أو المطالبات أو التكاليف المعقولة التي تتكبدها Al Ayman بالقدر الذي تكون فيه ناجمة مباشرة عن سلوك المستخدم غير المشروع، أو خرقه الجوهري لهذه الشروط، أو انتهاكه حقوق الغير، أو تقديمه خدمات دون الصلاحية القانونية المطلوبة. ولا ينشئ هذا البند مسؤولية تتجاوز ما يسمح به القانون المعمول به.</w:t>
      </w:r>
    </w:p>
    <w:p w14:paraId="5D5A5E6F" w14:textId="77777777">
      <w:pPr>
        <w:pStyle w:val="1"/>
        <w:bidi/>
        <w:jc w:val="right"/>
      </w:pPr>
      <w:r>
        <w:rPr>
          <w:rFonts w:ascii="Arial" w:eastAsia="Arial" w:hAnsi="Arial" w:cs="Arial"/>
          <w:rtl/>
        </w:rPr>
        <w:t>14. التعليق والإنهاء وإغلاق الحساب</w:t>
      </w:r>
    </w:p>
    <w:p w14:paraId="6EE5C321" w14:textId="77777777">
      <w:pPr>
        <w:bidi/>
        <w:jc w:val="right"/>
      </w:pPr>
      <w:r>
        <w:rPr>
          <w:rFonts w:eastAsia="Arial" w:cs="Arial"/>
          <w:rtl/>
        </w:rPr>
        <w:t>14.1 يجوز للمستخدم طلب إغلاق الحساب في أي وقت، مع مراعاة استكمال الالتزامات المعلقة أو المنازعات غير المحسومة أو متطلبات الاحتفاظ أو القيود المفروضة قانوناً.</w:t>
      </w:r>
    </w:p>
    <w:p w14:paraId="7F7BBE06" w14:textId="77777777">
      <w:pPr>
        <w:bidi/>
        <w:jc w:val="right"/>
      </w:pPr>
      <w:r>
        <w:rPr>
          <w:rFonts w:eastAsia="Arial" w:cs="Arial"/>
          <w:rtl/>
        </w:rPr>
        <w:lastRenderedPageBreak/>
        <w:t>14.2 يجوز لـ Al Ayman تقييد الحساب أو تعليقه أو إنهاؤه متى كان ذلك ضرورياً بصورة معقولة بسبب خرق جوهري أو متكرر لهذه الشروط، أو الاشتباه في احتيال أو نشاط غير مشروع، أو وجود خطر أمني، أو فقدان ترخيص مطلوب، أو بناءً على طلب جهة مختصة.</w:t>
      </w:r>
    </w:p>
    <w:p w14:paraId="4935E1BE" w14:textId="77777777">
      <w:pPr>
        <w:bidi/>
        <w:jc w:val="right"/>
      </w:pPr>
      <w:r>
        <w:rPr>
          <w:rFonts w:eastAsia="Arial" w:cs="Arial"/>
          <w:rtl/>
        </w:rPr>
        <w:t>14.3 حيثما يكون ذلك عملياً ومشروعاً، تقدم Al Ayman إشعاراً بشأن أي إجراء جوهري يتعلق بالحساب وتتيح فرصة معقولة للتواصل مع الدعم. ويجوز اتخاذ إجراء فوري عند الضرورة لحماية المستخدمين أو المنصة أو الأموال أو الأدلة أو للامتثال للقانون أو لتوجيه جهة مختصة.</w:t>
      </w:r>
    </w:p>
    <w:p w14:paraId="33220FB7" w14:textId="77777777">
      <w:pPr>
        <w:bidi/>
        <w:jc w:val="right"/>
      </w:pPr>
      <w:r>
        <w:rPr>
          <w:rFonts w:eastAsia="Arial" w:cs="Arial"/>
          <w:rtl/>
        </w:rPr>
        <w:t>14.4 تتم معاملة أي مبلغ غير مستخدم في محفظة مقدم الخدمة وفقاً لاتفاقية مقدم الخدمة وسياسة الاسترداد والقانون المعمول به. ويجوز لـ Al Ayman تقييد الوصول إلى مبلغ مؤقتاً إذا كان ذلك ضرورياً بصورة معقولة بسبب نزاع دفع أو تحقيق في احتيال أو متطلب قانوني، إلا أنها لن تعتبر الأموال غير المستخدمة مصادرة لمجرد إنهاء الحساب.</w:t>
      </w:r>
    </w:p>
    <w:p w14:paraId="3CC1A337" w14:textId="77777777">
      <w:pPr>
        <w:bidi/>
        <w:jc w:val="right"/>
      </w:pPr>
      <w:r>
        <w:rPr>
          <w:rFonts w:eastAsia="Arial" w:cs="Arial"/>
          <w:rtl/>
        </w:rPr>
        <w:t>14.5 تظل الأحكام التي ينبغي بطبيعتها أن تستمر بعد الإنهاء سارية، بما في ذلك الالتزامات المستحقة والملكية الفكرية والمسؤولية والمنازعات والقانون المعمول به.</w:t>
      </w:r>
    </w:p>
    <w:p w14:paraId="6B9F569C" w14:textId="77777777">
      <w:pPr>
        <w:pStyle w:val="1"/>
        <w:bidi/>
        <w:jc w:val="right"/>
      </w:pPr>
      <w:r>
        <w:rPr>
          <w:rFonts w:ascii="Arial" w:eastAsia="Arial" w:hAnsi="Arial" w:cs="Arial"/>
          <w:rtl/>
        </w:rPr>
        <w:t>15. القوة القاهرة</w:t>
      </w:r>
    </w:p>
    <w:p w14:paraId="5ACA9282" w14:textId="77777777">
      <w:pPr>
        <w:bidi/>
        <w:jc w:val="right"/>
      </w:pPr>
      <w:r>
        <w:rPr>
          <w:rFonts w:eastAsia="Arial" w:cs="Arial"/>
          <w:rtl/>
        </w:rPr>
        <w:t>لا يكون أي من Al Ayman أو المستخدم مسؤولاً عن عدم تنفيذ أو تأخر تنفيذ التزام بموجب هذه الشروط بالقدر الذي يكون فيه ذلك ناجماً عن حدث خارج عن نطاق السيطرة المعقولة للطرف المعني، شريطة ألا يؤدي ذلك إلى استبعاد أي مسؤولية أو حق لا يجوز استبعاده بموجب القانون المعمول به. ولا يحدد هذا القسم حقوق أو التزامات القوة القاهرة بموجب اتفاقية خدمة منفصلة بين العميل ومقدم الخدمة. وعلى الطرف المتأثر اتخاذ خطوات معقولة للحد من الأثر واستئناف التنفيذ متى أصبح ذلك ممكناً بصورة معقولة.</w:t>
      </w:r>
    </w:p>
    <w:p w14:paraId="28637E63" w14:textId="77777777">
      <w:pPr>
        <w:pStyle w:val="1"/>
        <w:bidi/>
        <w:jc w:val="right"/>
      </w:pPr>
      <w:r>
        <w:rPr>
          <w:rFonts w:ascii="Arial" w:eastAsia="Arial" w:hAnsi="Arial" w:cs="Arial"/>
          <w:rtl/>
        </w:rPr>
        <w:t>16. القانون الحاكم والمنازعات</w:t>
      </w:r>
    </w:p>
    <w:p w14:paraId="0BF46ACB" w14:textId="77777777">
      <w:pPr>
        <w:bidi/>
        <w:jc w:val="right"/>
      </w:pPr>
      <w:r>
        <w:rPr>
          <w:rFonts w:eastAsia="Arial" w:cs="Arial"/>
          <w:rtl/>
        </w:rPr>
        <w:t>16.1 تخضع هذه الشروط لقوانين دولة الإمارات العربية المتحدة، وحيثما ينطبق، للقوانين واللوائح السارية في إمارة دبي.</w:t>
      </w:r>
    </w:p>
    <w:p w14:paraId="3AB1A485" w14:textId="77777777">
      <w:pPr>
        <w:bidi/>
        <w:jc w:val="right"/>
      </w:pPr>
      <w:r>
        <w:rPr>
          <w:rFonts w:eastAsia="Arial" w:cs="Arial"/>
          <w:rtl/>
        </w:rPr>
        <w:t>16.2 قبل بدء إجراءات رسمية، ينبغي للأطراف أولاً محاولة حل النزاع بحسن نية من خلال التواصل مع الطرف الآخر وإتاحة فرصة معقولة للتسوية.</w:t>
      </w:r>
    </w:p>
    <w:p w14:paraId="4C0153B0" w14:textId="77777777">
      <w:pPr>
        <w:bidi/>
        <w:jc w:val="right"/>
      </w:pPr>
      <w:r>
        <w:rPr>
          <w:rFonts w:eastAsia="Arial" w:cs="Arial"/>
          <w:rtl/>
        </w:rPr>
        <w:t>16.3 مع مراعاة أي حق إلزامي للمستهلك أو اختصاص قضائي لا يجوز قانوناً استبعاده، تُحال المنازعات الناشئة عن هذه الشروط أو المتعلقة بها أو باستخدام المنصة إلى المحاكم المختصة في دبي، الإمارات العربية المتحدة.</w:t>
      </w:r>
    </w:p>
    <w:p w14:paraId="69F46AD1" w14:textId="77777777">
      <w:pPr>
        <w:bidi/>
        <w:jc w:val="right"/>
      </w:pPr>
      <w:r>
        <w:rPr>
          <w:rFonts w:eastAsia="Arial" w:cs="Arial"/>
          <w:rtl/>
        </w:rPr>
        <w:t>16.4 لا يمنع أي حكم في هذا القسم المستهلك من تقديم شكوى إلى جهة مختصة بحماية المستهلك في دولة الإمارات أو ممارسة أي وسيلة انتصاف قانونية إلزامية أخرى.</w:t>
      </w:r>
    </w:p>
    <w:p w14:paraId="60B2B2A2" w14:textId="77777777">
      <w:pPr>
        <w:pStyle w:val="1"/>
        <w:bidi/>
        <w:jc w:val="right"/>
      </w:pPr>
      <w:r>
        <w:rPr>
          <w:rFonts w:ascii="Arial" w:eastAsia="Arial" w:hAnsi="Arial" w:cs="Arial"/>
          <w:rtl/>
        </w:rPr>
        <w:t>17. التغييرات على هذه الشروط</w:t>
      </w:r>
    </w:p>
    <w:p w14:paraId="427BE178" w14:textId="77777777">
      <w:pPr>
        <w:bidi/>
        <w:jc w:val="right"/>
      </w:pPr>
      <w:r>
        <w:rPr>
          <w:rFonts w:eastAsia="Arial" w:cs="Arial"/>
          <w:rtl/>
        </w:rPr>
        <w:t>17.1 يجوز لـ Al Ayman تحديث هذه الشروط لتعكس التغييرات في القانون أو المنصة أو متطلبات الأمن أو العمليات التجارية.</w:t>
      </w:r>
    </w:p>
    <w:p w14:paraId="258592A9" w14:textId="77777777">
      <w:pPr>
        <w:bidi/>
        <w:jc w:val="right"/>
      </w:pPr>
      <w:r>
        <w:rPr>
          <w:rFonts w:eastAsia="Arial" w:cs="Arial"/>
          <w:rtl/>
        </w:rPr>
        <w:t>17.2 سيتم الإبلاغ عن التغييرات الجوهرية عبر المنصة أو البريد الإلكتروني أو وسيلة إلكترونية معقولة أخرى قبل سريانها عندما يكون الإشعار المسبق مطلوباً أو ممكناً بصورة معقولة.</w:t>
      </w:r>
    </w:p>
    <w:p w14:paraId="10581D9C" w14:textId="77777777">
      <w:pPr>
        <w:bidi/>
        <w:jc w:val="right"/>
      </w:pPr>
      <w:r>
        <w:rPr>
          <w:rFonts w:eastAsia="Arial" w:cs="Arial"/>
          <w:rtl/>
        </w:rPr>
        <w:t>17.3 عندما يتطلب التغيير موافقة جديدة بموجب القانون المعمول به، ستحصل Al Ayman على تلك الموافقة. وفي غير ذلك، يُعد استمرار الاستخدام بعد تاريخ سريان الشروط المحدثة قبولاً لها بالقدر الذي يسمح به القانون.</w:t>
      </w:r>
    </w:p>
    <w:p w14:paraId="1F74B6B3" w14:textId="77777777">
      <w:pPr>
        <w:pStyle w:val="1"/>
        <w:bidi/>
        <w:jc w:val="right"/>
      </w:pPr>
      <w:r>
        <w:rPr>
          <w:rFonts w:ascii="Arial" w:eastAsia="Arial" w:hAnsi="Arial" w:cs="Arial"/>
          <w:rtl/>
        </w:rPr>
        <w:t>18. أحكام عامة</w:t>
      </w:r>
    </w:p>
    <w:p w14:paraId="5B91C060" w14:textId="77777777">
      <w:pPr>
        <w:bidi/>
        <w:jc w:val="right"/>
      </w:pPr>
      <w:r>
        <w:rPr>
          <w:rFonts w:eastAsia="Arial" w:cs="Arial"/>
          <w:rtl/>
        </w:rPr>
        <w:t>18.1 تحكم هذه الشروط، إلى جانب سياسة الخصوصية وسياسة ملفات تعريف الارتباط وسياسة الاسترداد، الاستخدام العام للمنصة. وبالنسبة لمقدمي الخدمات، تحكم اتفاقية مقدم الخدمة بالإضافة إلى ذلك الحقوق والالتزامات الخاصة بمقدم الخدمة ورسوم المنصة ووظائف المحفظة.</w:t>
      </w:r>
    </w:p>
    <w:p w14:paraId="018E0A6E" w14:textId="77777777">
      <w:pPr>
        <w:bidi/>
        <w:jc w:val="right"/>
      </w:pPr>
      <w:r>
        <w:rPr>
          <w:rFonts w:eastAsia="Arial" w:cs="Arial"/>
          <w:rtl/>
        </w:rPr>
        <w:t>18.2 إذا اعتُبر أي حكم باطلاً أو غير قابل للتنفيذ، تظل الأحكام الأخرى نافذة بالقدر الذي يسمح به القانون.</w:t>
      </w:r>
    </w:p>
    <w:p w14:paraId="4132D27C" w14:textId="77777777">
      <w:pPr>
        <w:bidi/>
        <w:jc w:val="right"/>
      </w:pPr>
      <w:r>
        <w:rPr>
          <w:rFonts w:eastAsia="Arial" w:cs="Arial"/>
          <w:rtl/>
        </w:rPr>
        <w:t>18.3 لا يشكل عدم ممارسة حق تعاقدي أو التأخر في ممارسته، في حد ذاته، تنازلاً عن ذلك الحق.</w:t>
      </w:r>
    </w:p>
    <w:p w14:paraId="55C1C58D" w14:textId="77777777">
      <w:pPr>
        <w:bidi/>
        <w:jc w:val="right"/>
      </w:pPr>
      <w:r>
        <w:rPr>
          <w:rFonts w:eastAsia="Arial" w:cs="Arial"/>
          <w:rtl/>
        </w:rPr>
        <w:t>18.4 يجوز لـ Al Ayman إحالة أو نقل حقوقها والتزاماتها فيما يتعلق بإعادة تنظيم مؤسسي مشروعة أو اندماج أو استحواذ أو نقل أعمال المنصة، مع مراعاة القانون المعمول به. ولا يجوز للمستخدم إحالة الحساب أو الحقوق التعاقدية بموجب هذه الشروط دون موافقة Al Ayman عندما تكون تلك الحقوق شخصية لذلك المستخدم.</w:t>
      </w:r>
    </w:p>
    <w:p w14:paraId="05C483C0" w14:textId="77777777">
      <w:pPr>
        <w:bidi/>
        <w:jc w:val="right"/>
      </w:pPr>
      <w:r>
        <w:rPr>
          <w:rFonts w:eastAsia="Arial" w:cs="Arial"/>
          <w:rtl/>
        </w:rPr>
        <w:t>18.5 يجوز قبول هذه الشروط إلكترونياً. ويجوز استخدام السجلات والاتصالات الإلكترونية فيما يتعلق بالمنصة وفقاً للقانون المعمول به في دولة الإمارات.</w:t>
      </w:r>
    </w:p>
    <w:p w14:paraId="5EFF01D7" w14:textId="77777777">
      <w:pPr>
        <w:bidi/>
        <w:jc w:val="right"/>
      </w:pPr>
      <w:r>
        <w:rPr>
          <w:rFonts w:eastAsia="Arial" w:cs="Arial"/>
          <w:rtl/>
        </w:rPr>
        <w:lastRenderedPageBreak/>
        <w:t>18.6 أُعدت هذه الشروط باللغة الإنجليزية، ويجوز ترجمتها إلى لغات أخرى لأغراض التيسير وإتاحة الوصول. وبالقدر الذي يسمح به القانون المعمول به، تُستخدم النسخة الإنجليزية لتفسير أي اختلافات بين الترجمات. ولا يخل ذلك بأي متطلب إلزامي لاستخدام اللغة العربية أو بمتطلبات أي محكمة أو جهة مختصة في دولة الإمارات.</w:t>
      </w:r>
    </w:p>
    <w:p w14:paraId="77F66B92" w14:textId="77777777">
      <w:pPr>
        <w:pStyle w:val="1"/>
        <w:bidi/>
        <w:jc w:val="right"/>
      </w:pPr>
      <w:r>
        <w:rPr>
          <w:rFonts w:ascii="Arial" w:eastAsia="Arial" w:hAnsi="Arial" w:cs="Arial"/>
          <w:rtl/>
        </w:rPr>
        <w:t>19. التواصل</w:t>
      </w:r>
    </w:p>
    <w:p w14:paraId="4389B168" w14:textId="77777777">
      <w:pPr>
        <w:bidi/>
        <w:jc w:val="right"/>
      </w:pPr>
      <w:r>
        <w:rPr>
          <w:rFonts w:eastAsia="Arial" w:cs="Arial"/>
          <w:rtl/>
        </w:rPr>
        <w:t>Al Ayman Services Gateway L.L.C-FZ</w:t>
      </w:r>
    </w:p>
    <w:p w14:paraId="1467B5E1" w14:textId="77777777">
      <w:pPr>
        <w:bidi/>
        <w:jc w:val="right"/>
      </w:pPr>
      <w:r>
        <w:rPr>
          <w:rFonts w:eastAsia="Arial" w:cs="Arial"/>
          <w:rtl/>
        </w:rPr>
        <w:t>Meydan Grandstand, 6th Floor, Meydan Road, Nad Al Sheba, Dubai, U.A.E.</w:t>
      </w:r>
    </w:p>
    <w:p w14:paraId="69B93D12" w14:textId="77777777">
      <w:pPr>
        <w:bidi/>
        <w:jc w:val="right"/>
      </w:pPr>
      <w:r>
        <w:rPr>
          <w:rFonts w:eastAsia="Arial" w:cs="Arial"/>
          <w:rtl/>
        </w:rPr>
        <w:t>الموقع الإلكتروني: alayman.ae</w:t>
      </w:r>
    </w:p>
    <w:p w14:paraId="0268CE8F" w14:textId="77777777">
      <w:pPr>
        <w:bidi/>
        <w:jc w:val="right"/>
      </w:pPr>
      <w:r>
        <w:rPr>
          <w:rFonts w:eastAsia="Arial" w:cs="Arial"/>
          <w:rtl/>
        </w:rPr>
        <w:t>الدعم: support@alayman.ae</w:t>
      </w:r>
    </w:p>
    <w:p w14:paraId="7CBD8E4C" w14:textId="3B608DF2">
      <w:pPr>
        <w:bidi/>
        <w:jc w:val="right"/>
      </w:pPr>
    </w:p>
    <w:sectPr>
      <w:headerReference w:type="default" r:id="rId8"/>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ABD61" w14:textId="77777777">
      <w:pPr>
        <w:spacing w:after="0" w:line="240" w:lineRule="auto"/>
      </w:pPr>
      <w:r>
        <w:separator/>
      </w:r>
    </w:p>
  </w:endnote>
  <w:endnote w:type="continuationSeparator" w:id="0">
    <w:p w14:paraId="2875CB7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0ECAB" w14:textId="77777777">
      <w:pPr>
        <w:spacing w:after="0" w:line="240" w:lineRule="auto"/>
      </w:pPr>
      <w:r>
        <w:separator/>
      </w:r>
    </w:p>
  </w:footnote>
  <w:footnote w:type="continuationSeparator" w:id="0">
    <w:p w14:paraId="075E169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083AD" w14:textId="77777777">
    <w:pPr>
      <w:pStyle w:val="a5"/>
      <w:jc w:val="right"/>
    </w:pPr>
    <w:r>
      <w:rPr>
        <w:color w:val="6E6E6E"/>
        <w:sz w:val="16"/>
      </w:rPr>
      <w:t>AL AYMAN SERVICES GATEWAY L.L.C-FZ</w:t>
    </w:r>
  </w:p>
  <w:p w14:paraId="3B0DDE9D" w14:textId="14508B1F">
    <w:pPr>
      <w:pStyle w:val="a5"/>
      <w:bidi/>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64503355">
    <w:abstractNumId w:val="8"/>
  </w:num>
  <w:num w:numId="2" w16cid:durableId="1101098764">
    <w:abstractNumId w:val="6"/>
  </w:num>
  <w:num w:numId="3" w16cid:durableId="762796438">
    <w:abstractNumId w:val="5"/>
  </w:num>
  <w:num w:numId="4" w16cid:durableId="1760328775">
    <w:abstractNumId w:val="4"/>
  </w:num>
  <w:num w:numId="5" w16cid:durableId="1277179859">
    <w:abstractNumId w:val="7"/>
  </w:num>
  <w:num w:numId="6" w16cid:durableId="817452382">
    <w:abstractNumId w:val="3"/>
  </w:num>
  <w:num w:numId="7" w16cid:durableId="1043403987">
    <w:abstractNumId w:val="2"/>
  </w:num>
  <w:num w:numId="8" w16cid:durableId="799343496">
    <w:abstractNumId w:val="1"/>
  </w:num>
  <w:num w:numId="9" w16cid:durableId="1418284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214C3D"/>
  <w14:defaultImageDpi w14:val="300"/>
  <w15:docId w15:val="{8772410D-BF5D-1F48-8270-BC1B00340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100" w:line="259" w:lineRule="auto"/>
    </w:pPr>
    <w:rPr>
      <w:rFonts w:ascii="Arial" w:hAnsi="Arial"/>
      <w:color w:val="000000"/>
      <w:sz w:val="19"/>
    </w:rPr>
  </w:style>
  <w:style w:type="paragraph" w:styleId="1">
    <w:name w:val="heading 1"/>
    <w:basedOn w:val="a1"/>
    <w:next w:val="a1"/>
    <w:link w:val="10"/>
    <w:uiPriority w:val="9"/>
    <w:qFormat/>
    <w:pPr>
      <w:keepNext/>
      <w:keepLines/>
      <w:spacing w:before="200"/>
      <w:outlineLvl w:val="0"/>
    </w:pPr>
    <w:rPr>
      <w:rFonts w:asciiTheme="majorHAnsi" w:eastAsiaTheme="majorEastAsia" w:hAnsiTheme="majorHAnsi" w:cstheme="majorBidi"/>
      <w:b/>
      <w:bCs/>
      <w:color w:val="1F4E79"/>
      <w:sz w:val="28"/>
      <w:szCs w:val="28"/>
    </w:rPr>
  </w:style>
  <w:style w:type="paragraph" w:styleId="21">
    <w:name w:val="heading 2"/>
    <w:basedOn w:val="a1"/>
    <w:next w:val="a1"/>
    <w:link w:val="22"/>
    <w:uiPriority w:val="9"/>
    <w:unhideWhenUsed/>
    <w:qFormat/>
    <w:pPr>
      <w:keepNext/>
      <w:keepLines/>
      <w:spacing w:before="200"/>
      <w:outlineLvl w:val="1"/>
    </w:pPr>
    <w:rPr>
      <w:rFonts w:asciiTheme="majorHAnsi" w:eastAsiaTheme="majorEastAsia" w:hAnsiTheme="majorHAnsi" w:cstheme="majorBidi"/>
      <w:b/>
      <w:bCs/>
      <w:color w:val="2F5597"/>
      <w:sz w:val="22"/>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pPr>
      <w:tabs>
        <w:tab w:val="center" w:pos="4680"/>
        <w:tab w:val="right" w:pos="9360"/>
      </w:tabs>
      <w:spacing w:after="0" w:line="240" w:lineRule="auto"/>
    </w:pPr>
  </w:style>
  <w:style w:type="character" w:customStyle="1" w:styleId="a6">
    <w:name w:val="Верхний колонтитул Знак"/>
    <w:basedOn w:val="a2"/>
    <w:link w:val="a5"/>
    <w:uiPriority w:val="99"/>
    <w:rPr>
      <w:rFonts w:ascii="Arial" w:hAnsi="Arial"/>
    </w:rPr>
  </w:style>
  <w:style w:type="paragraph" w:styleId="a7">
    <w:name w:val="footer"/>
    <w:basedOn w:val="a1"/>
    <w:link w:val="a8"/>
    <w:uiPriority w:val="99"/>
    <w:unhideWhenUsed/>
    <w:pPr>
      <w:tabs>
        <w:tab w:val="center" w:pos="4680"/>
        <w:tab w:val="right" w:pos="9360"/>
      </w:tabs>
      <w:spacing w:after="0" w:line="240" w:lineRule="auto"/>
    </w:pPr>
  </w:style>
  <w:style w:type="character" w:customStyle="1" w:styleId="a8">
    <w:name w:val="Нижний колонтитул Знак"/>
    <w:basedOn w:val="a2"/>
    <w:link w:val="a7"/>
    <w:uiPriority w:val="99"/>
    <w:rPr>
      <w:rFonts w:ascii="Arial" w:hAnsi="Arial"/>
    </w:rPr>
  </w:style>
  <w:style w:type="paragraph" w:styleId="a9">
    <w:name w:val="No Spacing"/>
    <w:uiPriority w:val="1"/>
    <w:qFormat/>
    <w:pPr>
      <w:spacing w:after="0" w:line="240" w:lineRule="auto"/>
    </w:pPr>
    <w:rPr>
      <w:rFonts w:ascii="Arial" w:hAnsi="Arial"/>
    </w:rPr>
  </w:style>
  <w:style w:type="character" w:customStyle="1" w:styleId="10">
    <w:name w:val="Заголовок 1 Знак"/>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2"/>
      <w:szCs w:val="52"/>
    </w:rPr>
  </w:style>
  <w:style w:type="character" w:customStyle="1" w:styleId="ab">
    <w:name w:val="Заголовок Знак"/>
    <w:basedOn w:val="a2"/>
    <w:link w:val="aa"/>
    <w:uiPriority w:val="10"/>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pPr>
      <w:ind w:left="720"/>
      <w:contextualSpacing/>
    </w:pPr>
  </w:style>
  <w:style w:type="paragraph" w:styleId="af">
    <w:name w:val="Body Text"/>
    <w:basedOn w:val="a1"/>
    <w:link w:val="af0"/>
    <w:uiPriority w:val="99"/>
    <w:unhideWhenUsed/>
    <w:pPr>
      <w:spacing w:after="120"/>
    </w:pPr>
  </w:style>
  <w:style w:type="character" w:customStyle="1" w:styleId="af0">
    <w:name w:val="Основной текст Знак"/>
    <w:basedOn w:val="a2"/>
    <w:link w:val="af"/>
    <w:uiPriority w:val="99"/>
    <w:rPr>
      <w:rFonts w:ascii="Arial" w:hAnsi="Arial"/>
    </w:rPr>
  </w:style>
  <w:style w:type="paragraph" w:styleId="23">
    <w:name w:val="Body Text 2"/>
    <w:basedOn w:val="a1"/>
    <w:link w:val="24"/>
    <w:uiPriority w:val="99"/>
    <w:unhideWhenUsed/>
    <w:pPr>
      <w:spacing w:after="120" w:line="480" w:lineRule="auto"/>
    </w:pPr>
  </w:style>
  <w:style w:type="character" w:customStyle="1" w:styleId="24">
    <w:name w:val="Основной текст 2 Знак"/>
    <w:basedOn w:val="a2"/>
    <w:link w:val="23"/>
    <w:uiPriority w:val="99"/>
    <w:rPr>
      <w:rFonts w:ascii="Arial" w:hAnsi="Arial"/>
    </w:rPr>
  </w:style>
  <w:style w:type="paragraph" w:styleId="33">
    <w:name w:val="Body Text 3"/>
    <w:basedOn w:val="a1"/>
    <w:link w:val="34"/>
    <w:uiPriority w:val="99"/>
    <w:unhideWhenUsed/>
    <w:pPr>
      <w:spacing w:after="120"/>
    </w:pPr>
    <w:rPr>
      <w:sz w:val="16"/>
      <w:szCs w:val="16"/>
    </w:rPr>
  </w:style>
  <w:style w:type="character" w:customStyle="1" w:styleId="34">
    <w:name w:val="Основной текст 3 Знак"/>
    <w:basedOn w:val="a2"/>
    <w:link w:val="33"/>
    <w:uiPriority w:val="99"/>
    <w:rPr>
      <w:rFonts w:ascii="Arial" w:hAnsi="Arial"/>
      <w:sz w:val="16"/>
      <w:szCs w:val="16"/>
    </w:rPr>
  </w:style>
  <w:style w:type="paragraph" w:styleId="af1">
    <w:name w:val="List"/>
    <w:basedOn w:val="a1"/>
    <w:uiPriority w:val="99"/>
    <w:unhideWhenUsed/>
    <w:pPr>
      <w:ind w:left="360" w:hanging="360"/>
      <w:contextualSpacing/>
    </w:pPr>
  </w:style>
  <w:style w:type="paragraph" w:styleId="25">
    <w:name w:val="List 2"/>
    <w:basedOn w:val="a1"/>
    <w:uiPriority w:val="99"/>
    <w:unhideWhenUsed/>
    <w:pPr>
      <w:ind w:left="720" w:hanging="360"/>
      <w:contextualSpacing/>
    </w:pPr>
  </w:style>
  <w:style w:type="paragraph" w:styleId="35">
    <w:name w:val="List 3"/>
    <w:basedOn w:val="a1"/>
    <w:uiPriority w:val="99"/>
    <w:unhideWhenUsed/>
    <w:pPr>
      <w:ind w:left="1080" w:hanging="360"/>
      <w:contextualSpacing/>
    </w:pPr>
  </w:style>
  <w:style w:type="paragraph" w:styleId="a0">
    <w:name w:val="List Bullet"/>
    <w:basedOn w:val="a1"/>
    <w:uiPriority w:val="99"/>
    <w:unhideWhenUsed/>
    <w:pPr>
      <w:numPr>
        <w:numId w:val="1"/>
      </w:numPr>
      <w:contextualSpacing/>
    </w:pPr>
  </w:style>
  <w:style w:type="paragraph" w:styleId="20">
    <w:name w:val="List Bullet 2"/>
    <w:basedOn w:val="a1"/>
    <w:uiPriority w:val="99"/>
    <w:unhideWhenUsed/>
    <w:pPr>
      <w:numPr>
        <w:numId w:val="2"/>
      </w:numPr>
      <w:contextualSpacing/>
    </w:pPr>
  </w:style>
  <w:style w:type="paragraph" w:styleId="30">
    <w:name w:val="List Bullet 3"/>
    <w:basedOn w:val="a1"/>
    <w:uiPriority w:val="99"/>
    <w:unhideWhenUsed/>
    <w:pPr>
      <w:numPr>
        <w:numId w:val="3"/>
      </w:numPr>
      <w:contextualSpacing/>
    </w:pPr>
  </w:style>
  <w:style w:type="paragraph" w:styleId="a">
    <w:name w:val="List Number"/>
    <w:basedOn w:val="a1"/>
    <w:uiPriority w:val="99"/>
    <w:unhideWhenUsed/>
    <w:pPr>
      <w:numPr>
        <w:numId w:val="5"/>
      </w:numPr>
      <w:contextualSpacing/>
    </w:pPr>
  </w:style>
  <w:style w:type="paragraph" w:styleId="2">
    <w:name w:val="List Number 2"/>
    <w:basedOn w:val="a1"/>
    <w:uiPriority w:val="99"/>
    <w:unhideWhenUsed/>
    <w:pPr>
      <w:numPr>
        <w:numId w:val="6"/>
      </w:numPr>
      <w:contextualSpacing/>
    </w:pPr>
  </w:style>
  <w:style w:type="paragraph" w:styleId="3">
    <w:name w:val="List Number 3"/>
    <w:basedOn w:val="a1"/>
    <w:uiPriority w:val="99"/>
    <w:unhideWhenUsed/>
    <w:pPr>
      <w:numPr>
        <w:numId w:val="7"/>
      </w:numPr>
      <w:contextualSpacing/>
    </w:pPr>
  </w:style>
  <w:style w:type="paragraph" w:styleId="af2">
    <w:name w:val="List Continue"/>
    <w:basedOn w:val="a1"/>
    <w:uiPriority w:val="99"/>
    <w:unhideWhenUsed/>
    <w:pPr>
      <w:spacing w:after="120"/>
      <w:ind w:left="360"/>
      <w:contextualSpacing/>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3">
    <w:name w:val="macro"/>
    <w:link w:val="af4"/>
    <w:uiPriority w:val="99"/>
    <w:unhideWhenUsed/>
    <w:pPr>
      <w:tabs>
        <w:tab w:val="left" w:pos="576"/>
        <w:tab w:val="left" w:pos="1152"/>
        <w:tab w:val="left" w:pos="1728"/>
        <w:tab w:val="left" w:pos="2304"/>
        <w:tab w:val="left" w:pos="2880"/>
        <w:tab w:val="left" w:pos="3456"/>
        <w:tab w:val="left" w:pos="4032"/>
      </w:tabs>
    </w:pPr>
    <w:rPr>
      <w:rFonts w:ascii="Arial" w:hAnsi="Arial"/>
      <w:sz w:val="20"/>
      <w:szCs w:val="20"/>
    </w:rPr>
  </w:style>
  <w:style w:type="character" w:customStyle="1" w:styleId="af4">
    <w:name w:val="Текст макроса Знак"/>
    <w:basedOn w:val="a2"/>
    <w:link w:val="af3"/>
    <w:uiPriority w:val="99"/>
    <w:rPr>
      <w:rFonts w:ascii="Arial" w:hAnsi="Arial"/>
      <w:sz w:val="20"/>
      <w:szCs w:val="20"/>
    </w:rPr>
  </w:style>
  <w:style w:type="paragraph" w:styleId="27">
    <w:name w:val="Quote"/>
    <w:basedOn w:val="a1"/>
    <w:next w:val="a1"/>
    <w:link w:val="28"/>
    <w:uiPriority w:val="29"/>
    <w:qFormat/>
    <w:rPr>
      <w:i/>
      <w:iCs/>
      <w:color w:val="000000" w:themeColor="text1"/>
    </w:rPr>
  </w:style>
  <w:style w:type="character" w:customStyle="1" w:styleId="28">
    <w:name w:val="Цитата 2 Знак"/>
    <w:basedOn w:val="a2"/>
    <w:link w:val="27"/>
    <w:uiPriority w:val="29"/>
    <w:rPr>
      <w:rFonts w:ascii="Arial" w:hAnsi="Arial"/>
      <w:i/>
      <w:iCs/>
      <w:color w:val="000000" w:themeColor="text1"/>
    </w:rPr>
  </w:style>
  <w:style w:type="character" w:customStyle="1" w:styleId="40">
    <w:name w:val="Заголовок 4 Знак"/>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pPr>
      <w:spacing w:line="240" w:lineRule="auto"/>
    </w:pPr>
    <w:rPr>
      <w:b/>
      <w:bCs/>
      <w:color w:val="4F81BD" w:themeColor="accent1"/>
      <w:sz w:val="18"/>
      <w:szCs w:val="18"/>
    </w:rPr>
  </w:style>
  <w:style w:type="character" w:styleId="af6">
    <w:name w:val="Strong"/>
    <w:basedOn w:val="a2"/>
    <w:uiPriority w:val="22"/>
    <w:qFormat/>
    <w:rPr>
      <w:rFonts w:ascii="Arial" w:hAnsi="Arial"/>
      <w:b/>
      <w:bCs/>
    </w:rPr>
  </w:style>
  <w:style w:type="character" w:styleId="af7">
    <w:name w:val="Emphasis"/>
    <w:basedOn w:val="a2"/>
    <w:uiPriority w:val="20"/>
    <w:qFormat/>
    <w:rPr>
      <w:rFonts w:ascii="Arial" w:hAnsi="Arial"/>
      <w:i/>
      <w:iCs/>
    </w:rPr>
  </w:style>
  <w:style w:type="paragraph" w:styleId="af8">
    <w:name w:val="Intense Quote"/>
    <w:basedOn w:val="a1"/>
    <w:next w:val="a1"/>
    <w:link w:val="af9"/>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Pr>
      <w:rFonts w:ascii="Arial" w:hAnsi="Arial"/>
      <w:b/>
      <w:bCs/>
      <w:i/>
      <w:iCs/>
      <w:color w:val="4F81BD" w:themeColor="accent1"/>
    </w:rPr>
  </w:style>
  <w:style w:type="character" w:styleId="afa">
    <w:name w:val="Subtle Emphasis"/>
    <w:basedOn w:val="a2"/>
    <w:uiPriority w:val="19"/>
    <w:qFormat/>
    <w:rPr>
      <w:rFonts w:ascii="Arial" w:hAnsi="Arial"/>
      <w:i/>
      <w:iCs/>
      <w:color w:val="808080" w:themeColor="text1" w:themeTint="7F"/>
    </w:rPr>
  </w:style>
  <w:style w:type="character" w:styleId="afb">
    <w:name w:val="Intense Emphasis"/>
    <w:basedOn w:val="a2"/>
    <w:uiPriority w:val="21"/>
    <w:qFormat/>
    <w:rPr>
      <w:rFonts w:ascii="Arial" w:hAnsi="Arial"/>
      <w:b/>
      <w:bCs/>
      <w:i/>
      <w:iCs/>
      <w:color w:val="4F81BD" w:themeColor="accent1"/>
    </w:rPr>
  </w:style>
  <w:style w:type="character" w:styleId="afc">
    <w:name w:val="Subtle Reference"/>
    <w:basedOn w:val="a2"/>
    <w:uiPriority w:val="31"/>
    <w:qFormat/>
    <w:rPr>
      <w:rFonts w:ascii="Arial" w:hAnsi="Arial"/>
      <w:smallCaps/>
      <w:color w:val="C0504D" w:themeColor="accent2"/>
      <w:u w:val="single"/>
    </w:rPr>
  </w:style>
  <w:style w:type="character" w:styleId="afd">
    <w:name w:val="Intense Reference"/>
    <w:basedOn w:val="a2"/>
    <w:uiPriority w:val="32"/>
    <w:qFormat/>
    <w:rPr>
      <w:rFonts w:ascii="Arial" w:hAnsi="Arial"/>
      <w:b/>
      <w:bCs/>
      <w:smallCaps/>
      <w:color w:val="C0504D" w:themeColor="accent2"/>
      <w:spacing w:val="5"/>
      <w:u w:val="single"/>
    </w:rPr>
  </w:style>
  <w:style w:type="character" w:styleId="afe">
    <w:name w:val="Book Title"/>
    <w:basedOn w:val="a2"/>
    <w:uiPriority w:val="33"/>
    <w:qFormat/>
    <w:rPr>
      <w:rFonts w:ascii="Arial" w:hAnsi="Arial"/>
      <w:b/>
      <w:bCs/>
      <w:smallCaps/>
      <w:spacing w:val="5"/>
    </w:rPr>
  </w:style>
  <w:style w:type="paragraph" w:styleId="aff">
    <w:name w:val="TOC Heading"/>
    <w:basedOn w:val="1"/>
    <w:next w:val="a1"/>
    <w:uiPriority w:val="39"/>
    <w:semiHidden/>
    <w:unhideWhenUsed/>
    <w:qFormat/>
    <w:pPr>
      <w:outlineLvl w:val="9"/>
    </w:pPr>
    <w:rPr>
      <w:rFonts w:ascii="Arial" w:hAnsi="Arial"/>
    </w:rPr>
  </w:style>
  <w:style w:type="table" w:styleId="aff0">
    <w:name w:val="Table Grid"/>
    <w:basedOn w:val="a3"/>
    <w:uiPriority w:val="59"/>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pPr>
      <w:spacing w:after="0" w:line="240" w:lineRule="auto"/>
    </w:pPr>
    <w:rPr>
      <w:rFonts w:ascii="Arial" w:hAnsi="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pPr>
      <w:spacing w:after="0" w:line="240" w:lineRule="auto"/>
    </w:pPr>
    <w:rPr>
      <w:rFonts w:ascii="Arial" w:hAnsi="Arial"/>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pPr>
      <w:spacing w:after="0" w:line="240" w:lineRule="auto"/>
    </w:pPr>
    <w:rPr>
      <w:rFonts w:ascii="Arial" w:hAnsi="Arial"/>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pPr>
      <w:spacing w:after="0" w:line="240" w:lineRule="auto"/>
    </w:pPr>
    <w:rPr>
      <w:rFonts w:ascii="Arial" w:hAnsi="Arial"/>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pPr>
      <w:spacing w:after="0" w:line="240" w:lineRule="auto"/>
    </w:pPr>
    <w:rPr>
      <w:rFonts w:ascii="Arial" w:hAnsi="Arial"/>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pPr>
      <w:spacing w:after="0" w:line="240" w:lineRule="auto"/>
    </w:pPr>
    <w:rPr>
      <w:rFonts w:ascii="Arial" w:hAnsi="Arial"/>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pPr>
      <w:spacing w:after="0" w:line="240" w:lineRule="auto"/>
    </w:pPr>
    <w:rPr>
      <w:rFonts w:ascii="Arial" w:hAnsi="Arial"/>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pPr>
      <w:spacing w:after="0" w:line="240" w:lineRule="auto"/>
    </w:pPr>
    <w:rPr>
      <w:rFonts w:ascii="Arial" w:hAnsi="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pPr>
      <w:spacing w:after="0" w:line="240" w:lineRule="auto"/>
    </w:pPr>
    <w:rPr>
      <w:rFonts w:ascii="Arial" w:hAnsi="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pPr>
      <w:spacing w:after="0" w:line="240" w:lineRule="auto"/>
    </w:pPr>
    <w:rPr>
      <w:rFonts w:ascii="Arial" w:hAnsi="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pPr>
      <w:spacing w:after="0" w:line="240" w:lineRule="auto"/>
    </w:pPr>
    <w:rPr>
      <w:rFonts w:ascii="Arial" w:hAnsi="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pPr>
      <w:spacing w:after="0" w:line="240" w:lineRule="auto"/>
    </w:pPr>
    <w:rPr>
      <w:rFonts w:ascii="Arial" w:hAnsi="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pPr>
      <w:spacing w:after="0" w:line="240" w:lineRule="auto"/>
    </w:pPr>
    <w:rPr>
      <w:rFonts w:ascii="Arial" w:hAnsi="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pPr>
      <w:spacing w:after="0" w:line="240" w:lineRule="auto"/>
    </w:pPr>
    <w:rPr>
      <w:rFonts w:ascii="Arial" w:hAnsi="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pPr>
      <w:spacing w:after="0" w:line="240" w:lineRule="auto"/>
    </w:pPr>
    <w:rPr>
      <w:rFonts w:ascii="Arial" w:hAnsi="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pPr>
      <w:spacing w:after="0" w:line="240" w:lineRule="auto"/>
    </w:pPr>
    <w:rPr>
      <w:rFonts w:ascii="Arial" w:hAnsi="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pPr>
      <w:spacing w:after="0" w:line="240" w:lineRule="auto"/>
    </w:pPr>
    <w:rPr>
      <w:rFonts w:ascii="Arial" w:hAnsi="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pPr>
      <w:spacing w:after="0" w:line="240" w:lineRule="auto"/>
    </w:pPr>
    <w:rPr>
      <w:rFonts w:ascii="Arial" w:hAnsi="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pPr>
      <w:spacing w:after="0" w:line="240" w:lineRule="auto"/>
    </w:pPr>
    <w:rPr>
      <w:rFonts w:ascii="Arial" w:hAnsi="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pPr>
      <w:spacing w:after="0" w:line="240" w:lineRule="auto"/>
    </w:pPr>
    <w:rPr>
      <w:rFonts w:ascii="Arial" w:hAnsi="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pPr>
      <w:spacing w:after="0" w:line="240" w:lineRule="auto"/>
    </w:pPr>
    <w:rPr>
      <w:rFonts w:ascii="Arial" w:hAnsi="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pPr>
      <w:spacing w:after="0" w:line="240" w:lineRule="auto"/>
    </w:pPr>
    <w:rPr>
      <w:rFonts w:ascii="Arial" w:hAnsi="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pPr>
      <w:spacing w:after="0" w:line="240" w:lineRule="auto"/>
    </w:pPr>
    <w:rPr>
      <w:rFonts w:ascii="Arial" w:hAnsi="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pPr>
      <w:spacing w:after="0" w:line="240" w:lineRule="auto"/>
    </w:pPr>
    <w:rPr>
      <w:rFonts w:ascii="Arial" w:hAnsi="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pPr>
      <w:spacing w:after="0" w:line="240" w:lineRule="auto"/>
    </w:pPr>
    <w:rPr>
      <w:rFonts w:ascii="Arial" w:hAnsi="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pPr>
      <w:spacing w:after="0" w:line="240" w:lineRule="auto"/>
    </w:pPr>
    <w:rPr>
      <w:rFonts w:ascii="Arial" w:hAnsi="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pPr>
      <w:spacing w:after="0" w:line="240" w:lineRule="auto"/>
    </w:pPr>
    <w:rPr>
      <w:rFonts w:ascii="Arial" w:hAnsi="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pPr>
      <w:spacing w:after="0" w:line="240" w:lineRule="auto"/>
    </w:pPr>
    <w:rPr>
      <w:rFonts w:ascii="Arial" w:hAnsi="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pPr>
      <w:spacing w:after="0" w:line="240" w:lineRule="auto"/>
    </w:pPr>
    <w:rPr>
      <w:rFonts w:ascii="Arial" w:hAnsi="Arial"/>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pPr>
      <w:spacing w:after="0" w:line="240" w:lineRule="auto"/>
    </w:pPr>
    <w:rPr>
      <w:rFonts w:ascii="Arial" w:hAnsi="Arial"/>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pPr>
      <w:spacing w:after="0" w:line="240" w:lineRule="auto"/>
    </w:pPr>
    <w:rPr>
      <w:rFonts w:ascii="Arial" w:hAnsi="Arial"/>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pPr>
      <w:spacing w:after="0" w:line="240" w:lineRule="auto"/>
    </w:pPr>
    <w:rPr>
      <w:rFonts w:ascii="Arial" w:hAnsi="Arial"/>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pPr>
      <w:spacing w:after="0" w:line="240" w:lineRule="auto"/>
    </w:pPr>
    <w:rPr>
      <w:rFonts w:ascii="Arial" w:hAnsi="Arial"/>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pPr>
      <w:spacing w:after="0" w:line="240" w:lineRule="auto"/>
    </w:pPr>
    <w:rPr>
      <w:rFonts w:ascii="Arial" w:hAnsi="Arial"/>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pPr>
      <w:spacing w:after="0" w:line="240" w:lineRule="auto"/>
    </w:pPr>
    <w:rPr>
      <w:rFonts w:ascii="Arial" w:hAnsi="Arial"/>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pPr>
      <w:spacing w:after="0" w:line="240" w:lineRule="auto"/>
    </w:pPr>
    <w:rPr>
      <w:rFonts w:ascii="Arial" w:hAnsi="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pPr>
      <w:spacing w:after="0" w:line="240" w:lineRule="auto"/>
    </w:pPr>
    <w:rPr>
      <w:rFonts w:ascii="Arial" w:hAnsi="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pPr>
      <w:spacing w:after="0" w:line="240" w:lineRule="auto"/>
    </w:pPr>
    <w:rPr>
      <w:rFonts w:ascii="Arial" w:hAnsi="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pPr>
      <w:spacing w:after="0" w:line="240" w:lineRule="auto"/>
    </w:pPr>
    <w:rPr>
      <w:rFonts w:ascii="Arial" w:hAnsi="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pPr>
      <w:spacing w:after="0" w:line="240" w:lineRule="auto"/>
    </w:pPr>
    <w:rPr>
      <w:rFonts w:ascii="Arial" w:hAnsi="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pPr>
      <w:spacing w:after="0" w:line="240" w:lineRule="auto"/>
    </w:pPr>
    <w:rPr>
      <w:rFonts w:ascii="Arial" w:hAnsi="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pPr>
      <w:spacing w:after="0" w:line="240" w:lineRule="auto"/>
    </w:pPr>
    <w:rPr>
      <w:rFonts w:ascii="Arial" w:hAnsi="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pPr>
      <w:spacing w:after="0" w:line="240" w:lineRule="auto"/>
    </w:pPr>
    <w:rPr>
      <w:rFonts w:ascii="Arial" w:hAnsi="Arial"/>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pPr>
      <w:spacing w:after="0" w:line="240" w:lineRule="auto"/>
    </w:pPr>
    <w:rPr>
      <w:rFonts w:ascii="Arial" w:hAnsi="Arial"/>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pPr>
      <w:spacing w:after="0" w:line="240" w:lineRule="auto"/>
    </w:pPr>
    <w:rPr>
      <w:rFonts w:ascii="Arial" w:hAnsi="Arial"/>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pPr>
      <w:spacing w:after="0" w:line="240" w:lineRule="auto"/>
    </w:pPr>
    <w:rPr>
      <w:rFonts w:ascii="Arial" w:hAnsi="Arial"/>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pPr>
      <w:spacing w:after="0" w:line="240" w:lineRule="auto"/>
    </w:pPr>
    <w:rPr>
      <w:rFonts w:ascii="Arial" w:hAnsi="Arial"/>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pPr>
      <w:spacing w:after="0" w:line="240" w:lineRule="auto"/>
    </w:pPr>
    <w:rPr>
      <w:rFonts w:ascii="Arial" w:hAnsi="Arial"/>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pPr>
      <w:spacing w:after="0" w:line="240" w:lineRule="auto"/>
    </w:pPr>
    <w:rPr>
      <w:rFonts w:ascii="Arial" w:hAnsi="Arial"/>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pPr>
      <w:spacing w:after="0" w:line="240" w:lineRule="auto"/>
    </w:pPr>
    <w:rPr>
      <w:rFonts w:ascii="Arial" w:hAnsi="Arial"/>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pPr>
      <w:spacing w:after="0" w:line="240" w:lineRule="auto"/>
    </w:pPr>
    <w:rPr>
      <w:rFonts w:ascii="Arial" w:hAnsi="Arial"/>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pPr>
      <w:spacing w:after="0" w:line="240" w:lineRule="auto"/>
    </w:pPr>
    <w:rPr>
      <w:rFonts w:ascii="Arial" w:hAnsi="Arial"/>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pPr>
      <w:spacing w:after="0" w:line="240" w:lineRule="auto"/>
    </w:pPr>
    <w:rPr>
      <w:rFonts w:ascii="Arial" w:hAnsi="Arial"/>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pPr>
      <w:spacing w:after="0" w:line="240" w:lineRule="auto"/>
    </w:pPr>
    <w:rPr>
      <w:rFonts w:ascii="Arial" w:hAnsi="Arial"/>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pPr>
      <w:spacing w:after="0" w:line="240" w:lineRule="auto"/>
    </w:pPr>
    <w:rPr>
      <w:rFonts w:ascii="Arial" w:hAnsi="Arial"/>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pPr>
      <w:spacing w:after="0" w:line="240" w:lineRule="auto"/>
    </w:pPr>
    <w:rPr>
      <w:rFonts w:ascii="Arial" w:hAnsi="Arial"/>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pPr>
      <w:spacing w:after="0" w:line="240" w:lineRule="auto"/>
    </w:pPr>
    <w:rPr>
      <w:rFonts w:ascii="Arial" w:hAnsi="Arial"/>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pPr>
      <w:spacing w:after="0" w:line="240" w:lineRule="auto"/>
    </w:pPr>
    <w:rPr>
      <w:rFonts w:ascii="Arial" w:hAnsi="Arial"/>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pPr>
      <w:spacing w:after="0" w:line="240" w:lineRule="auto"/>
    </w:pPr>
    <w:rPr>
      <w:rFonts w:ascii="Arial" w:hAnsi="Arial"/>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pPr>
      <w:spacing w:after="0" w:line="240" w:lineRule="auto"/>
    </w:pPr>
    <w:rPr>
      <w:rFonts w:ascii="Arial" w:hAnsi="Arial"/>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pPr>
      <w:spacing w:after="0" w:line="240" w:lineRule="auto"/>
    </w:pPr>
    <w:rPr>
      <w:rFonts w:ascii="Arial" w:hAnsi="Arial"/>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pPr>
      <w:spacing w:after="0" w:line="240" w:lineRule="auto"/>
    </w:pPr>
    <w:rPr>
      <w:rFonts w:ascii="Arial" w:hAnsi="Arial"/>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pPr>
      <w:spacing w:after="0" w:line="240" w:lineRule="auto"/>
    </w:pPr>
    <w:rPr>
      <w:rFonts w:ascii="Arial" w:hAnsi="Arial"/>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ages>6</Pages>
  <Words>2526</Words>
  <Characters>14403</Characters>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16896</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