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08C58" w14:textId="77777777">
      <w:pPr>
        <w:pStyle w:val="aa"/>
        <w:bidi/>
        <w:jc w:val="right"/>
      </w:pPr>
      <w:r>
        <w:rPr>
          <w:rFonts w:ascii="Arial" w:eastAsia="Arial" w:hAnsi="Arial" w:cs="Arial"/>
          <w:rtl/>
        </w:rPr>
        <w:t>سياسة الخصوصية</w:t>
      </w:r>
    </w:p>
    <w:p w14:paraId="2A44F89E" w14:textId="5474FDC1">
      <w:pPr>
        <w:bidi/>
        <w:jc w:val="right"/>
        <w:rPr>
          <w:rFonts w:eastAsia="Arial" w:cs="Arial"/>
          <w:b/>
          <w:bCs/>
          <w:u w:val="single"/>
        </w:rPr>
      </w:pPr>
      <w:r>
        <w:rPr>
          <w:rFonts w:eastAsia="Arial" w:cs="Arial"/>
          <w:rtl/>
        </w:rPr>
        <w:t xml:space="preserve"> </w:t>
      </w:r>
      <w:r>
        <w:rPr>
          <w:rFonts w:eastAsia="Arial" w:cs="Arial"/>
          <w:b/>
          <w:bCs/>
          <w:u w:val="single"/>
          <w:rtl/>
        </w:rPr>
        <w:t>Al Ayman · alayman.ae</w:t>
      </w:r>
    </w:p>
    <w:p w14:paraId="68F07DC9" w14:textId="47BE37FF">
      <w:pPr>
        <w:bidi/>
        <w:jc w:val="right"/>
        <w:rPr>
          <w:sz w:val="22"/>
        </w:rPr>
      </w:pPr>
      <w:proofErr w:type="spellStart"/>
      <w:r>
        <w:rPr>
          <w:sz w:val="22"/>
        </w:rPr>
        <w:t>تاريخ</w:t>
      </w:r>
      <w:proofErr w:type="spellEnd"/>
      <w:r>
        <w:rPr>
          <w:sz w:val="22"/>
        </w:rPr>
        <w:t xml:space="preserve"> </w:t>
      </w:r>
      <w:proofErr w:type="spellStart"/>
      <w:r>
        <w:rPr>
          <w:sz w:val="22"/>
        </w:rPr>
        <w:t>السريان</w:t>
      </w:r>
      <w:proofErr w:type="spellEnd"/>
      <w:r>
        <w:rPr>
          <w:sz w:val="22"/>
        </w:rPr>
        <w:t xml:space="preserve"> – 1 </w:t>
      </w:r>
      <w:proofErr w:type="spellStart"/>
      <w:r>
        <w:rPr>
          <w:sz w:val="22"/>
        </w:rPr>
        <w:t>أكتوبر</w:t>
      </w:r>
      <w:proofErr w:type="spellEnd"/>
      <w:r>
        <w:rPr>
          <w:sz w:val="22"/>
        </w:rPr>
        <w:t xml:space="preserve"> 2026</w:t>
      </w:r>
    </w:p>
    <w:p w14:paraId="0311A1F6" w14:textId="77777777">
      <w:pPr>
        <w:bidi/>
        <w:jc w:val="right"/>
      </w:pPr>
      <w:r>
        <w:rPr>
          <w:rFonts w:eastAsia="Arial" w:cs="Arial"/>
          <w:rtl/>
        </w:rPr>
        <w:t>توضح سياسة الخصوصية هذه كيفية قيام Al Ayman Services Gateway L.L.C-FZ ("Al Ayman" أو "نحن" أو "لنا") بجمع البيانات الشخصية واستخدامها والإفصاح عنها وتخزينها وحمايتها عندما يستخدم الأفراد موقع Al Ayman الإلكتروني وتطبيقاته للهواتف المتحركة والخدمات المرتبطة بها ("المنصة").</w:t>
      </w:r>
    </w:p>
    <w:p w14:paraId="567F1389" w14:textId="77777777">
      <w:pPr>
        <w:bidi/>
        <w:jc w:val="right"/>
      </w:pPr>
      <w:r>
        <w:rPr>
          <w:rFonts w:eastAsia="Arial" w:cs="Arial"/>
          <w:rtl/>
        </w:rPr>
        <w:t>تهدف هذه السياسة إلى وصف ممارساتنا المتعلقة بالبيانات الشخصية وفقاً لقانون حماية البيانات المعمول به في دولة الإمارات العربية المتحدة، بما في ذلك المرسوم بقانون اتحادي رقم 45 لسنة 2021 بشأن حماية البيانات الشخصية (UAE PDPL). وحيثما تكون الموافقة مطلوبة لنشاط معالجة معين، سنطلبها بصورة منفصلة أو من خلال أداة التحكم ذات الصلة في المنصة.</w:t>
      </w:r>
    </w:p>
    <w:p w14:paraId="641D5F50" w14:textId="77777777">
      <w:pPr>
        <w:pStyle w:val="1"/>
        <w:bidi/>
        <w:jc w:val="right"/>
      </w:pPr>
      <w:r>
        <w:rPr>
          <w:rFonts w:ascii="Arial" w:eastAsia="Arial" w:hAnsi="Arial" w:cs="Arial"/>
          <w:rtl/>
        </w:rPr>
        <w:t>1. من يتحكم في بياناتك الشخصية</w:t>
      </w:r>
    </w:p>
    <w:tbl>
      <w:tblPr>
        <w:tblStyle w:val="aff0"/>
        <w:bidiVisual/>
        <w:tblW w:w="0" w:type="auto"/>
        <w:jc w:val="right"/>
        <w:tblLook w:val="04A0" w:firstRow="1" w:lastRow="0" w:firstColumn="1" w:lastColumn="0" w:noHBand="0" w:noVBand="1"/>
      </w:tblPr>
      <w:tblGrid>
        <w:gridCol w:w="5040"/>
        <w:gridCol w:w="5040"/>
      </w:tblGrid>
      <w:tr w14:paraId="79D17084" w14:textId="77777777">
        <w:trPr>
          <w:jc w:val="right"/>
        </w:trPr>
        <w:tc>
          <w:tcPr>
            <w:tcW w:w="5040" w:type="dxa"/>
            <w:shd w:val="clear" w:color="auto" w:fill="D9EAF7"/>
            <w:vAlign w:val="center"/>
          </w:tcPr>
          <w:p w14:paraId="55DE6A29" w14:textId="77777777">
            <w:pPr>
              <w:bidi/>
              <w:jc w:val="right"/>
            </w:pPr>
            <w:r>
              <w:rPr>
                <w:rFonts w:eastAsia="Arial" w:cs="Arial"/>
                <w:rtl/>
              </w:rPr>
              <w:t>البند</w:t>
            </w:r>
          </w:p>
        </w:tc>
        <w:tc>
          <w:tcPr>
            <w:tcW w:w="5040" w:type="dxa"/>
            <w:shd w:val="clear" w:color="auto" w:fill="D9EAF7"/>
            <w:vAlign w:val="center"/>
          </w:tcPr>
          <w:p w14:paraId="509B8887" w14:textId="77777777">
            <w:pPr>
              <w:bidi/>
              <w:jc w:val="right"/>
            </w:pPr>
            <w:r>
              <w:rPr>
                <w:rFonts w:eastAsia="Arial" w:cs="Arial"/>
                <w:rtl/>
              </w:rPr>
              <w:t>التفاصيل</w:t>
            </w:r>
          </w:p>
        </w:tc>
      </w:tr>
      <w:tr w14:paraId="46EE6A81" w14:textId="77777777">
        <w:trPr>
          <w:jc w:val="right"/>
        </w:trPr>
        <w:tc>
          <w:tcPr>
            <w:tcW w:w="5040" w:type="dxa"/>
            <w:vAlign w:val="center"/>
          </w:tcPr>
          <w:p w14:paraId="72D6711C" w14:textId="77777777">
            <w:pPr>
              <w:bidi/>
              <w:jc w:val="right"/>
            </w:pPr>
            <w:r>
              <w:rPr>
                <w:rFonts w:eastAsia="Arial" w:cs="Arial"/>
                <w:rtl/>
              </w:rPr>
              <w:t>المتحكم</w:t>
            </w:r>
          </w:p>
        </w:tc>
        <w:tc>
          <w:tcPr>
            <w:tcW w:w="5040" w:type="dxa"/>
            <w:vAlign w:val="center"/>
          </w:tcPr>
          <w:p w14:paraId="27BE3470" w14:textId="77777777">
            <w:pPr>
              <w:bidi/>
              <w:jc w:val="right"/>
            </w:pPr>
            <w:r>
              <w:rPr>
                <w:rFonts w:eastAsia="Arial" w:cs="Arial"/>
                <w:rtl/>
              </w:rPr>
              <w:t>Al Ayman Services Gateway L.L.C-FZ</w:t>
            </w:r>
          </w:p>
        </w:tc>
      </w:tr>
      <w:tr w14:paraId="75B72866" w14:textId="77777777">
        <w:trPr>
          <w:jc w:val="right"/>
        </w:trPr>
        <w:tc>
          <w:tcPr>
            <w:tcW w:w="5040" w:type="dxa"/>
            <w:vAlign w:val="center"/>
          </w:tcPr>
          <w:p w14:paraId="4378AB15" w14:textId="77777777">
            <w:pPr>
              <w:bidi/>
              <w:jc w:val="right"/>
            </w:pPr>
            <w:r>
              <w:rPr>
                <w:rFonts w:eastAsia="Arial" w:cs="Arial"/>
                <w:rtl/>
              </w:rPr>
              <w:t>العنوان المسجّل</w:t>
            </w:r>
          </w:p>
        </w:tc>
        <w:tc>
          <w:tcPr>
            <w:tcW w:w="5040" w:type="dxa"/>
            <w:vAlign w:val="center"/>
          </w:tcPr>
          <w:p w14:paraId="074824C4" w14:textId="77777777">
            <w:pPr>
              <w:bidi/>
              <w:jc w:val="right"/>
            </w:pPr>
            <w:r>
              <w:rPr>
                <w:rFonts w:eastAsia="Arial" w:cs="Arial"/>
                <w:rtl/>
              </w:rPr>
              <w:t>Meydan Grandstand, 6th Floor, Meydan Road, Nad Al Sheba, Dubai, U.A.E.</w:t>
            </w:r>
          </w:p>
        </w:tc>
      </w:tr>
      <w:tr w14:paraId="0E410189" w14:textId="77777777">
        <w:trPr>
          <w:jc w:val="right"/>
        </w:trPr>
        <w:tc>
          <w:tcPr>
            <w:tcW w:w="5040" w:type="dxa"/>
            <w:vAlign w:val="center"/>
          </w:tcPr>
          <w:p w14:paraId="0E95CFE9" w14:textId="77777777">
            <w:pPr>
              <w:bidi/>
              <w:jc w:val="right"/>
            </w:pPr>
            <w:r>
              <w:rPr>
                <w:rFonts w:eastAsia="Arial" w:cs="Arial"/>
                <w:rtl/>
              </w:rPr>
              <w:t>المنصة</w:t>
            </w:r>
          </w:p>
        </w:tc>
        <w:tc>
          <w:tcPr>
            <w:tcW w:w="5040" w:type="dxa"/>
            <w:vAlign w:val="center"/>
          </w:tcPr>
          <w:p w14:paraId="2455E50E" w14:textId="77777777">
            <w:pPr>
              <w:bidi/>
              <w:jc w:val="right"/>
            </w:pPr>
            <w:r>
              <w:rPr>
                <w:rFonts w:eastAsia="Arial" w:cs="Arial"/>
                <w:rtl/>
              </w:rPr>
              <w:t>alayman.ae وتطبيقات Al Ayman للهواتف المتحركة</w:t>
            </w:r>
          </w:p>
        </w:tc>
      </w:tr>
      <w:tr w14:paraId="50074A29" w14:textId="77777777">
        <w:trPr>
          <w:jc w:val="right"/>
        </w:trPr>
        <w:tc>
          <w:tcPr>
            <w:tcW w:w="5040" w:type="dxa"/>
            <w:vAlign w:val="center"/>
          </w:tcPr>
          <w:p w14:paraId="6EE4A821" w14:textId="77777777">
            <w:pPr>
              <w:bidi/>
              <w:jc w:val="right"/>
            </w:pPr>
            <w:r>
              <w:rPr>
                <w:rFonts w:eastAsia="Arial" w:cs="Arial"/>
                <w:rtl/>
              </w:rPr>
              <w:t>التواصل بشأن الخصوصية</w:t>
            </w:r>
          </w:p>
        </w:tc>
        <w:tc>
          <w:tcPr>
            <w:tcW w:w="5040" w:type="dxa"/>
            <w:vAlign w:val="center"/>
          </w:tcPr>
          <w:p w14:paraId="5512DF24" w14:textId="1366D00C">
            <w:pPr>
              <w:bidi/>
              <w:jc w:val="right"/>
            </w:pPr>
            <w:r>
              <w:rPr>
                <w:rFonts w:eastAsia="Arial" w:cs="Arial"/>
                <w:rtl/>
              </w:rPr>
              <w:t>support@alayman.ae</w:t>
            </w:r>
          </w:p>
        </w:tc>
      </w:tr>
    </w:tbl>
    <w:p w14:paraId="42B4D7D1" w14:textId="77777777">
      <w:pPr>
        <w:bidi/>
        <w:jc w:val="right"/>
      </w:pPr>
      <w:r>
        <w:rPr>
          <w:rFonts w:eastAsia="Arial" w:cs="Arial"/>
          <w:rtl/>
        </w:rPr>
        <w:t>تعمل Al Ayman عموماً بصفتها المتحكم في البيانات الشخصية التي تتم معالجتها لتشغيل المنصة. وقد يعمل مقدم الخدمة بصورة منفصلة بصفته متحكماً في البيانات الشخصية للعميل التي يعالجها بصورة مستقلة لتقديم الخدمة الأساسية.</w:t>
      </w:r>
    </w:p>
    <w:p w14:paraId="2EC84D5C" w14:textId="77777777">
      <w:pPr>
        <w:pStyle w:val="1"/>
        <w:bidi/>
        <w:jc w:val="right"/>
      </w:pPr>
      <w:r>
        <w:rPr>
          <w:rFonts w:ascii="Arial" w:eastAsia="Arial" w:hAnsi="Arial" w:cs="Arial"/>
          <w:rtl/>
        </w:rPr>
        <w:t>2. البيانات الشخصية التي نجمعها</w:t>
      </w:r>
    </w:p>
    <w:p w14:paraId="554C937E" w14:textId="77777777">
      <w:pPr>
        <w:bidi/>
        <w:jc w:val="right"/>
      </w:pPr>
      <w:r>
        <w:rPr>
          <w:rFonts w:eastAsia="Arial" w:cs="Arial"/>
          <w:rtl/>
        </w:rPr>
        <w:t>بحسب كيفية استخدامك للمنصة، قد نجمع الفئات التالية من البيانات الشخصية:</w:t>
      </w:r>
    </w:p>
    <w:p w14:paraId="75C33724" w14:textId="77777777">
      <w:pPr>
        <w:pStyle w:val="a0"/>
        <w:bidi/>
        <w:ind w:left="317" w:hanging="173"/>
        <w:jc w:val="right"/>
      </w:pPr>
      <w:r>
        <w:rPr>
          <w:rFonts w:eastAsia="Arial" w:cs="Arial"/>
          <w:rtl/>
        </w:rPr>
        <w:t>بيانات الحساب والهوية، مثل الاسم ومعرّفات الحساب وتاريخ الميلاد أو تأكيد العمر حيثما يكون مطلوباً ومعلومات الملف الشخصي ومعلومات تسجيل الدخول أو المصادقة؛</w:t>
      </w:r>
    </w:p>
    <w:p w14:paraId="5D274F45" w14:textId="77777777">
      <w:pPr>
        <w:pStyle w:val="a0"/>
        <w:bidi/>
        <w:ind w:left="317" w:hanging="173"/>
        <w:jc w:val="right"/>
      </w:pPr>
      <w:r>
        <w:rPr>
          <w:rFonts w:eastAsia="Arial" w:cs="Arial"/>
          <w:rtl/>
        </w:rPr>
        <w:t>بيانات الاتصال، مثل عنوان البريد الإلكتروني ورقم الهاتف وتفضيلات التواصل؛</w:t>
      </w:r>
    </w:p>
    <w:p w14:paraId="4818F92F" w14:textId="77777777">
      <w:pPr>
        <w:pStyle w:val="a0"/>
        <w:bidi/>
        <w:ind w:left="317" w:hanging="173"/>
        <w:jc w:val="right"/>
      </w:pPr>
      <w:r>
        <w:rPr>
          <w:rFonts w:eastAsia="Arial" w:cs="Arial"/>
          <w:rtl/>
        </w:rPr>
        <w:t>بيانات مقدم الخدمة، مثل معلومات النشاط التجاري، ومعلومات الرخصة التجارية أو المهنية، والمؤهلات، وبيانات الممثل المفوض، وفئات الخدمات، وسجلات التحقق؛</w:t>
      </w:r>
    </w:p>
    <w:p w14:paraId="011C683B" w14:textId="77777777">
      <w:pPr>
        <w:pStyle w:val="a0"/>
        <w:bidi/>
        <w:ind w:left="317" w:hanging="173"/>
        <w:jc w:val="right"/>
      </w:pPr>
      <w:r>
        <w:rPr>
          <w:rFonts w:eastAsia="Arial" w:cs="Arial"/>
          <w:rtl/>
        </w:rPr>
        <w:t>بيانات الطلب والخدمة، مثل طلبات الخدمات والمواقع أو مناطق تقديم الخدمة والردود والأسعار المقترحة والتوقيت وحالة الطلب والمعلومات المتبادلة فيما يتعلق بالطلب؛</w:t>
      </w:r>
    </w:p>
    <w:p w14:paraId="39D73EFB" w14:textId="77777777">
      <w:pPr>
        <w:pStyle w:val="a0"/>
        <w:bidi/>
        <w:ind w:left="317" w:hanging="173"/>
        <w:jc w:val="right"/>
      </w:pPr>
      <w:r>
        <w:rPr>
          <w:rFonts w:eastAsia="Arial" w:cs="Arial"/>
          <w:rtl/>
        </w:rPr>
        <w:t>المراسلات، بما في ذلك رسائل محادثة المنصة وطلبات الدعم والشكاوى والمراسلات ذات الصلة؛</w:t>
      </w:r>
    </w:p>
    <w:p w14:paraId="1197E8B9" w14:textId="77777777">
      <w:pPr>
        <w:pStyle w:val="a0"/>
        <w:bidi/>
        <w:ind w:left="317" w:hanging="173"/>
        <w:jc w:val="right"/>
      </w:pPr>
      <w:r>
        <w:rPr>
          <w:rFonts w:eastAsia="Arial" w:cs="Arial"/>
          <w:rtl/>
        </w:rPr>
        <w:t>بيانات الدفع والمحفظة الخاصة بمقدمي الخدمات، مثل معاملات المحفظة وسجلات رسوم المنصة وتأكيدات الدفع والمبالغ المستردة وعمليات السحب ومعرّفات الدفع المحدودة الواردة من مقدمي خدمات الدفع؛</w:t>
      </w:r>
    </w:p>
    <w:p w14:paraId="0BC7AF5E" w14:textId="77777777">
      <w:pPr>
        <w:pStyle w:val="a0"/>
        <w:bidi/>
        <w:ind w:left="317" w:hanging="173"/>
        <w:jc w:val="right"/>
      </w:pPr>
      <w:r>
        <w:rPr>
          <w:rFonts w:eastAsia="Arial" w:cs="Arial"/>
          <w:rtl/>
        </w:rPr>
        <w:t>التقييمات والمراجعات ومواد محفظة الأعمال وغيرها من المحتوى المقدم إلى المنصة؛</w:t>
      </w:r>
    </w:p>
    <w:p w14:paraId="069F586F" w14:textId="77777777">
      <w:pPr>
        <w:pStyle w:val="a0"/>
        <w:bidi/>
        <w:ind w:left="317" w:hanging="173"/>
        <w:jc w:val="right"/>
      </w:pPr>
      <w:r>
        <w:rPr>
          <w:rFonts w:eastAsia="Arial" w:cs="Arial"/>
          <w:rtl/>
        </w:rPr>
        <w:t>البيانات التقنية وبيانات الأمن، مثل عنوان IP ومعلومات الجهاز والمتصفح ومعرّفات التطبيق وسجلات تسجيل الدخول والأحداث الأمنية والمعلومات التشخيصية؛</w:t>
      </w:r>
    </w:p>
    <w:p w14:paraId="2A103F0A" w14:textId="77777777">
      <w:pPr>
        <w:pStyle w:val="a0"/>
        <w:bidi/>
        <w:ind w:left="317" w:hanging="173"/>
        <w:jc w:val="right"/>
      </w:pPr>
      <w:r>
        <w:rPr>
          <w:rFonts w:eastAsia="Arial" w:cs="Arial"/>
          <w:rtl/>
        </w:rPr>
        <w:t>بيانات الموقع عندما تكون ذات صلة بوظائف المنصة. وبحسب الخاصية، قد يكون ذلك موقعاً تقريبياً أو معلومات موقع يقدمها المستخدم أو يسمح بها؛ و</w:t>
      </w:r>
    </w:p>
    <w:p w14:paraId="4C4F3C9F" w14:textId="77777777">
      <w:pPr>
        <w:pStyle w:val="a0"/>
        <w:bidi/>
        <w:ind w:left="317" w:hanging="173"/>
        <w:jc w:val="right"/>
      </w:pPr>
      <w:r>
        <w:rPr>
          <w:rFonts w:eastAsia="Arial" w:cs="Arial"/>
          <w:rtl/>
        </w:rPr>
        <w:t>بيانات تفضيلات التسويق وملفات تعريف الارتباط، بما في ذلك الموافقات وطلبات إلغاء الاشتراك والتفضيلات.</w:t>
      </w:r>
    </w:p>
    <w:p w14:paraId="16D57F60" w14:textId="77777777">
      <w:pPr>
        <w:bidi/>
        <w:jc w:val="right"/>
      </w:pPr>
      <w:r>
        <w:rPr>
          <w:rFonts w:eastAsia="Arial" w:cs="Arial"/>
          <w:rtl/>
        </w:rPr>
        <w:t>لا نسعى إلى جمع البيانات الشخصية الحساسة إلا إذا كانت ضرورية لوظيفة مشروعة محددة في المنصة أو لغرض امتثال. وإذا كانت هذه البيانات مطلوبة، فسنطبق الضمانات والأساس القانوني الذي يقتضيه القانون المعمول به.</w:t>
      </w:r>
    </w:p>
    <w:p w14:paraId="178430A9" w14:textId="77777777">
      <w:pPr>
        <w:pStyle w:val="1"/>
        <w:bidi/>
        <w:jc w:val="right"/>
      </w:pPr>
      <w:r>
        <w:rPr>
          <w:rFonts w:ascii="Arial" w:eastAsia="Arial" w:hAnsi="Arial" w:cs="Arial"/>
          <w:rtl/>
        </w:rPr>
        <w:lastRenderedPageBreak/>
        <w:t>3. كيفية حصولنا على البيانات الشخصية</w:t>
      </w:r>
    </w:p>
    <w:p w14:paraId="454B925E" w14:textId="77777777">
      <w:pPr>
        <w:bidi/>
        <w:jc w:val="right"/>
      </w:pPr>
      <w:r>
        <w:rPr>
          <w:rFonts w:eastAsia="Arial" w:cs="Arial"/>
          <w:rtl/>
        </w:rPr>
        <w:t>نجمع البيانات الشخصية مباشرةً من المستخدمين عندما يسجلون أو ينشئون ملفات شخصية أو ينشرون الطلبات أو يقدمون الردود أو يتواصلون أو يجرون مدفوعات للمنصة أو يتصلون بالدعم أو يستخدمون المنصة بأي طريقة أخرى.</w:t>
      </w:r>
    </w:p>
    <w:p w14:paraId="7F3B0B38" w14:textId="77777777">
      <w:pPr>
        <w:bidi/>
        <w:jc w:val="right"/>
      </w:pPr>
      <w:r>
        <w:rPr>
          <w:rFonts w:eastAsia="Arial" w:cs="Arial"/>
          <w:rtl/>
        </w:rPr>
        <w:t>وقد نتلقى أيضاً قدراً محدوداً من البيانات الشخصية من مقدمي الخدمات الذين يدعمون المدفوعات والمصادقة والاتصالات والاستضافة والبنية التحتية والخرائط أو وظائف الموقع والتحليلات والأمن ومراقبة الأخطاء ودعم العملاء والتحقق من مقدمي الخدمات.</w:t>
      </w:r>
    </w:p>
    <w:p w14:paraId="172A52D7" w14:textId="77777777">
      <w:pPr>
        <w:bidi/>
        <w:jc w:val="right"/>
      </w:pPr>
      <w:r>
        <w:rPr>
          <w:rFonts w:eastAsia="Arial" w:cs="Arial"/>
          <w:rtl/>
        </w:rPr>
        <w:t>عندما يتفاعل العميل ومقدم الخدمة عبر المنصة، يجوز لكل منهما تقديم معلومات عن الآخر فيما يتعلق بطلب أو شكوى أو مراجعة أو اتفاقية خدمة.</w:t>
      </w:r>
    </w:p>
    <w:p w14:paraId="4DB8C05F" w14:textId="77777777">
      <w:pPr>
        <w:pStyle w:val="1"/>
        <w:bidi/>
        <w:jc w:val="right"/>
      </w:pPr>
      <w:r>
        <w:rPr>
          <w:rFonts w:ascii="Arial" w:eastAsia="Arial" w:hAnsi="Arial" w:cs="Arial"/>
          <w:rtl/>
        </w:rPr>
        <w:t>4. لماذا نعالج البيانات الشخصية</w:t>
      </w:r>
    </w:p>
    <w:tbl>
      <w:tblPr>
        <w:tblStyle w:val="aff0"/>
        <w:bidiVisual/>
        <w:tblW w:w="0" w:type="auto"/>
        <w:jc w:val="right"/>
        <w:tblLook w:val="04A0" w:firstRow="1" w:lastRow="0" w:firstColumn="1" w:lastColumn="0" w:noHBand="0" w:noVBand="1"/>
      </w:tblPr>
      <w:tblGrid>
        <w:gridCol w:w="5040"/>
        <w:gridCol w:w="5040"/>
      </w:tblGrid>
      <w:tr w14:paraId="29614CB6" w14:textId="77777777">
        <w:trPr>
          <w:jc w:val="right"/>
        </w:trPr>
        <w:tc>
          <w:tcPr>
            <w:tcW w:w="5040" w:type="dxa"/>
            <w:shd w:val="clear" w:color="auto" w:fill="D9EAF7"/>
            <w:vAlign w:val="center"/>
          </w:tcPr>
          <w:p w14:paraId="43B8D42E" w14:textId="77777777">
            <w:pPr>
              <w:bidi/>
              <w:jc w:val="right"/>
            </w:pPr>
            <w:r>
              <w:rPr>
                <w:rFonts w:eastAsia="Arial" w:cs="Arial"/>
                <w:rtl/>
              </w:rPr>
              <w:t>الغرض</w:t>
            </w:r>
          </w:p>
        </w:tc>
        <w:tc>
          <w:tcPr>
            <w:tcW w:w="5040" w:type="dxa"/>
            <w:shd w:val="clear" w:color="auto" w:fill="D9EAF7"/>
            <w:vAlign w:val="center"/>
          </w:tcPr>
          <w:p w14:paraId="24B0B01F" w14:textId="77777777">
            <w:pPr>
              <w:bidi/>
              <w:jc w:val="right"/>
            </w:pPr>
            <w:r>
              <w:rPr>
                <w:rFonts w:eastAsia="Arial" w:cs="Arial"/>
                <w:rtl/>
              </w:rPr>
              <w:t>أمثلة</w:t>
            </w:r>
          </w:p>
        </w:tc>
      </w:tr>
      <w:tr w14:paraId="247AEA0A" w14:textId="77777777">
        <w:trPr>
          <w:jc w:val="right"/>
        </w:trPr>
        <w:tc>
          <w:tcPr>
            <w:tcW w:w="5040" w:type="dxa"/>
            <w:vAlign w:val="center"/>
          </w:tcPr>
          <w:p w14:paraId="14C8A57B" w14:textId="77777777">
            <w:pPr>
              <w:bidi/>
              <w:jc w:val="right"/>
            </w:pPr>
            <w:r>
              <w:rPr>
                <w:rFonts w:eastAsia="Arial" w:cs="Arial"/>
                <w:rtl/>
              </w:rPr>
              <w:t>توفير المنصة وإدارتها</w:t>
            </w:r>
          </w:p>
        </w:tc>
        <w:tc>
          <w:tcPr>
            <w:tcW w:w="5040" w:type="dxa"/>
            <w:vAlign w:val="center"/>
          </w:tcPr>
          <w:p w14:paraId="70811E79" w14:textId="77777777">
            <w:pPr>
              <w:bidi/>
              <w:jc w:val="right"/>
            </w:pPr>
            <w:r>
              <w:rPr>
                <w:rFonts w:eastAsia="Arial" w:cs="Arial"/>
                <w:rtl/>
              </w:rPr>
              <w:t>إنشاء الحسابات، وإدارة الملفات الشخصية، ونشر الطلبات، وتسليم الردود، ودعم اختيار مقدمي الخدمات، وإدارة حالة الطلب.</w:t>
            </w:r>
          </w:p>
        </w:tc>
      </w:tr>
      <w:tr w14:paraId="112FE4C8" w14:textId="77777777">
        <w:trPr>
          <w:jc w:val="right"/>
        </w:trPr>
        <w:tc>
          <w:tcPr>
            <w:tcW w:w="5040" w:type="dxa"/>
            <w:vAlign w:val="center"/>
          </w:tcPr>
          <w:p w14:paraId="1A7152A2" w14:textId="77777777">
            <w:pPr>
              <w:bidi/>
              <w:jc w:val="right"/>
            </w:pPr>
            <w:r>
              <w:rPr>
                <w:rFonts w:eastAsia="Arial" w:cs="Arial"/>
                <w:rtl/>
              </w:rPr>
              <w:t>التحقق من مقدمي الخدمات</w:t>
            </w:r>
          </w:p>
        </w:tc>
        <w:tc>
          <w:tcPr>
            <w:tcW w:w="5040" w:type="dxa"/>
            <w:vAlign w:val="center"/>
          </w:tcPr>
          <w:p w14:paraId="087BD1E5" w14:textId="77777777">
            <w:pPr>
              <w:bidi/>
              <w:jc w:val="right"/>
            </w:pPr>
            <w:r>
              <w:rPr>
                <w:rFonts w:eastAsia="Arial" w:cs="Arial"/>
                <w:rtl/>
              </w:rPr>
              <w:t>مراجعة معلومات الهوية أو النشاط التجاري أو الترخيص أو المؤهلات أو غيرها من المعلومات المقدمة من المستقلين والشركات مقدمة الخدمة.</w:t>
            </w:r>
          </w:p>
        </w:tc>
      </w:tr>
      <w:tr w14:paraId="1D95A924" w14:textId="77777777">
        <w:trPr>
          <w:jc w:val="right"/>
        </w:trPr>
        <w:tc>
          <w:tcPr>
            <w:tcW w:w="5040" w:type="dxa"/>
            <w:vAlign w:val="center"/>
          </w:tcPr>
          <w:p w14:paraId="75689509" w14:textId="77777777">
            <w:pPr>
              <w:bidi/>
              <w:jc w:val="right"/>
            </w:pPr>
            <w:r>
              <w:rPr>
                <w:rFonts w:eastAsia="Arial" w:cs="Arial"/>
                <w:rtl/>
              </w:rPr>
              <w:t>مدفوعات مقدمي الخدمات</w:t>
            </w:r>
          </w:p>
        </w:tc>
        <w:tc>
          <w:tcPr>
            <w:tcW w:w="5040" w:type="dxa"/>
            <w:vAlign w:val="center"/>
          </w:tcPr>
          <w:p w14:paraId="482A65F1" w14:textId="77777777">
            <w:pPr>
              <w:bidi/>
              <w:jc w:val="right"/>
            </w:pPr>
            <w:r>
              <w:rPr>
                <w:rFonts w:eastAsia="Arial" w:cs="Arial"/>
                <w:rtl/>
              </w:rPr>
              <w:t>تشغيل وظائف محفظة مقدم الخدمة، ومعالجة رسوم المنصة الخاصة بمقدمي الخدمات والمبالغ المستردة وعمليات السحب المؤهلة، والاحتفاظ بالسجلات ذات الصلة. ولا تُفرض رسوم المنصة على العملاء وفق نموذج المنصة الحالي.</w:t>
            </w:r>
          </w:p>
        </w:tc>
      </w:tr>
      <w:tr w14:paraId="710EC794" w14:textId="77777777">
        <w:trPr>
          <w:jc w:val="right"/>
        </w:trPr>
        <w:tc>
          <w:tcPr>
            <w:tcW w:w="5040" w:type="dxa"/>
            <w:vAlign w:val="center"/>
          </w:tcPr>
          <w:p w14:paraId="118694B6" w14:textId="77777777">
            <w:pPr>
              <w:bidi/>
              <w:jc w:val="right"/>
            </w:pPr>
            <w:r>
              <w:rPr>
                <w:rFonts w:eastAsia="Arial" w:cs="Arial"/>
                <w:rtl/>
              </w:rPr>
              <w:t>الاتصالات</w:t>
            </w:r>
          </w:p>
        </w:tc>
        <w:tc>
          <w:tcPr>
            <w:tcW w:w="5040" w:type="dxa"/>
            <w:vAlign w:val="center"/>
          </w:tcPr>
          <w:p w14:paraId="7303BA4B" w14:textId="77777777">
            <w:pPr>
              <w:bidi/>
              <w:jc w:val="right"/>
            </w:pPr>
            <w:r>
              <w:rPr>
                <w:rFonts w:eastAsia="Arial" w:cs="Arial"/>
                <w:rtl/>
              </w:rPr>
              <w:t>توفير رسائل رمز التحقق لمرة واحدة (OTP)/المصادقة، وإشعارات الطلبات، ورسائل الخدمة، والمحادثة، ودعم العملاء.</w:t>
            </w:r>
          </w:p>
        </w:tc>
      </w:tr>
      <w:tr w14:paraId="23081B6E" w14:textId="77777777">
        <w:trPr>
          <w:jc w:val="right"/>
        </w:trPr>
        <w:tc>
          <w:tcPr>
            <w:tcW w:w="5040" w:type="dxa"/>
            <w:vAlign w:val="center"/>
          </w:tcPr>
          <w:p w14:paraId="5F0B6E07" w14:textId="77777777">
            <w:pPr>
              <w:bidi/>
              <w:jc w:val="right"/>
            </w:pPr>
            <w:r>
              <w:rPr>
                <w:rFonts w:eastAsia="Arial" w:cs="Arial"/>
                <w:rtl/>
              </w:rPr>
              <w:t>السلامة والأمن ومنع الاحتيال</w:t>
            </w:r>
          </w:p>
        </w:tc>
        <w:tc>
          <w:tcPr>
            <w:tcW w:w="5040" w:type="dxa"/>
            <w:vAlign w:val="center"/>
          </w:tcPr>
          <w:p w14:paraId="5488E6B9" w14:textId="77777777">
            <w:pPr>
              <w:bidi/>
              <w:jc w:val="right"/>
            </w:pPr>
            <w:r>
              <w:rPr>
                <w:rFonts w:eastAsia="Arial" w:cs="Arial"/>
                <w:rtl/>
              </w:rPr>
              <w:t>حماية الحسابات والمنصة، والتحقيق في الأنشطة المشتبه بها، ومنع إساءة الاستخدام، وإنفاذ قواعد المنصة.</w:t>
            </w:r>
          </w:p>
        </w:tc>
      </w:tr>
      <w:tr w14:paraId="34AFC1A1" w14:textId="77777777">
        <w:trPr>
          <w:jc w:val="right"/>
        </w:trPr>
        <w:tc>
          <w:tcPr>
            <w:tcW w:w="5040" w:type="dxa"/>
            <w:vAlign w:val="center"/>
          </w:tcPr>
          <w:p w14:paraId="091104BC" w14:textId="77777777">
            <w:pPr>
              <w:bidi/>
              <w:jc w:val="right"/>
            </w:pPr>
            <w:r>
              <w:rPr>
                <w:rFonts w:eastAsia="Arial" w:cs="Arial"/>
                <w:rtl/>
              </w:rPr>
              <w:t>الشكاوى والمنازعات</w:t>
            </w:r>
          </w:p>
        </w:tc>
        <w:tc>
          <w:tcPr>
            <w:tcW w:w="5040" w:type="dxa"/>
            <w:vAlign w:val="center"/>
          </w:tcPr>
          <w:p w14:paraId="6CEF557E" w14:textId="77777777">
            <w:pPr>
              <w:bidi/>
              <w:jc w:val="right"/>
            </w:pPr>
            <w:r>
              <w:rPr>
                <w:rFonts w:eastAsia="Arial" w:cs="Arial"/>
                <w:rtl/>
              </w:rPr>
              <w:t>مراجعة الشكاوى، وحفظ الأدلة ذات الصلة، والمساعدة في التسوية على مستوى المنصة حيثما يكون ذلك مناسباً.</w:t>
            </w:r>
          </w:p>
        </w:tc>
      </w:tr>
      <w:tr w14:paraId="4CE620B9" w14:textId="77777777">
        <w:trPr>
          <w:jc w:val="right"/>
        </w:trPr>
        <w:tc>
          <w:tcPr>
            <w:tcW w:w="5040" w:type="dxa"/>
            <w:vAlign w:val="center"/>
          </w:tcPr>
          <w:p w14:paraId="55A404E5" w14:textId="77777777">
            <w:pPr>
              <w:bidi/>
              <w:jc w:val="right"/>
            </w:pPr>
            <w:r>
              <w:rPr>
                <w:rFonts w:eastAsia="Arial" w:cs="Arial"/>
                <w:rtl/>
              </w:rPr>
              <w:t>الامتثال القانوني والتنظيمي</w:t>
            </w:r>
          </w:p>
        </w:tc>
        <w:tc>
          <w:tcPr>
            <w:tcW w:w="5040" w:type="dxa"/>
            <w:vAlign w:val="center"/>
          </w:tcPr>
          <w:p w14:paraId="105CA301" w14:textId="77777777">
            <w:pPr>
              <w:bidi/>
              <w:jc w:val="right"/>
            </w:pPr>
            <w:r>
              <w:rPr>
                <w:rFonts w:eastAsia="Arial" w:cs="Arial"/>
                <w:rtl/>
              </w:rPr>
              <w:t>الامتثال للقانون المعمول به والمتطلبات الضريبية والمحاسبية والطلبات القانونية الصحيحة وإقامة المطالبات القانونية أو ممارستها أو الدفاع عنها.</w:t>
            </w:r>
          </w:p>
        </w:tc>
      </w:tr>
      <w:tr w14:paraId="443AF2C9" w14:textId="77777777">
        <w:trPr>
          <w:jc w:val="right"/>
        </w:trPr>
        <w:tc>
          <w:tcPr>
            <w:tcW w:w="5040" w:type="dxa"/>
            <w:vAlign w:val="center"/>
          </w:tcPr>
          <w:p w14:paraId="33823E5C" w14:textId="77777777">
            <w:pPr>
              <w:bidi/>
              <w:jc w:val="right"/>
            </w:pPr>
            <w:r>
              <w:rPr>
                <w:rFonts w:eastAsia="Arial" w:cs="Arial"/>
                <w:rtl/>
              </w:rPr>
              <w:t>تحسين المنصة</w:t>
            </w:r>
          </w:p>
        </w:tc>
        <w:tc>
          <w:tcPr>
            <w:tcW w:w="5040" w:type="dxa"/>
            <w:vAlign w:val="center"/>
          </w:tcPr>
          <w:p w14:paraId="269F3181" w14:textId="77777777">
            <w:pPr>
              <w:bidi/>
              <w:jc w:val="right"/>
            </w:pPr>
            <w:r>
              <w:rPr>
                <w:rFonts w:eastAsia="Arial" w:cs="Arial"/>
                <w:rtl/>
              </w:rPr>
              <w:t>تشخيص الأخطاء، وفهم استخدام خصائص المنصة، وتحسين الأداء، وتطوير الوظائف، باستخدام معلومات مجمعة أو منزوعة الهوية حيثما يكون ذلك مناسباً.</w:t>
            </w:r>
          </w:p>
        </w:tc>
      </w:tr>
      <w:tr w14:paraId="1CDB7DFD" w14:textId="77777777">
        <w:trPr>
          <w:jc w:val="right"/>
        </w:trPr>
        <w:tc>
          <w:tcPr>
            <w:tcW w:w="5040" w:type="dxa"/>
            <w:vAlign w:val="center"/>
          </w:tcPr>
          <w:p w14:paraId="2480E974" w14:textId="77777777">
            <w:pPr>
              <w:bidi/>
              <w:jc w:val="right"/>
            </w:pPr>
            <w:r>
              <w:rPr>
                <w:rFonts w:eastAsia="Arial" w:cs="Arial"/>
                <w:rtl/>
              </w:rPr>
              <w:t>التسويق</w:t>
            </w:r>
          </w:p>
        </w:tc>
        <w:tc>
          <w:tcPr>
            <w:tcW w:w="5040" w:type="dxa"/>
            <w:vAlign w:val="center"/>
          </w:tcPr>
          <w:p w14:paraId="0088D838" w14:textId="77777777">
            <w:pPr>
              <w:bidi/>
              <w:jc w:val="right"/>
            </w:pPr>
            <w:r>
              <w:rPr>
                <w:rFonts w:eastAsia="Arial" w:cs="Arial"/>
                <w:rtl/>
              </w:rPr>
              <w:t>إرسال اتصالات ترويجية أو استخدام تقنيات تسويق غير أساسية عندما تتوفر الموافقة المطلوبة أو أساس قانوني آخر.</w:t>
            </w:r>
          </w:p>
        </w:tc>
      </w:tr>
    </w:tbl>
    <w:p w14:paraId="2B7D1BBE" w14:textId="77777777">
      <w:pPr>
        <w:bidi/>
        <w:jc w:val="right"/>
      </w:pPr>
      <w:r>
        <w:rPr>
          <w:rFonts w:eastAsia="Arial" w:cs="Arial"/>
          <w:rtl/>
        </w:rPr>
        <w:t>بحسب النشاط، قد تستند المعالجة إلى الموافقة أو قد تتم دون موافقة عندما ينطبق استثناء محدد أو أساس قانوني آخر بموجب قانون دولة الإمارات المعمول به، بما في ذلك عندما تكون المعالجة ضرورية لتنفيذ عقد أو اتخاذ خطوات تعاقدية أولية مطلوبة، أو الامتثال لالتزامات قانونية، أو حماية المصالح ذات الصلة، أو إقامة مطالبات قانونية أو الدفاع عنها، أو في أي حالة أخرى يسمح بها القانون. ولا يمنع سحب الموافقة المعالجة المشروعة استناداً إلى أساس قانوني آخر واجب التطبيق.</w:t>
      </w:r>
    </w:p>
    <w:p w14:paraId="799E1C47" w14:textId="77777777">
      <w:pPr>
        <w:pStyle w:val="1"/>
        <w:bidi/>
        <w:jc w:val="right"/>
      </w:pPr>
      <w:r>
        <w:rPr>
          <w:rFonts w:ascii="Arial" w:eastAsia="Arial" w:hAnsi="Arial" w:cs="Arial"/>
          <w:rtl/>
        </w:rPr>
        <w:t>5. مدفوعات مقدمي الخدمات ومدفوعات العملاء</w:t>
      </w:r>
    </w:p>
    <w:p w14:paraId="41AFC698" w14:textId="77777777">
      <w:pPr>
        <w:bidi/>
        <w:jc w:val="right"/>
      </w:pPr>
      <w:r>
        <w:rPr>
          <w:rFonts w:eastAsia="Arial" w:cs="Arial"/>
          <w:rtl/>
        </w:rPr>
        <w:t>5.1 وفق نموذج المنصة الحالي، لا يدفع العملاء رسوم المنصة إلى Al Ayman ولا يحتاجون إلى محفظة على المنصة.</w:t>
      </w:r>
    </w:p>
    <w:p w14:paraId="0F627B94" w14:textId="77777777">
      <w:pPr>
        <w:bidi/>
        <w:jc w:val="right"/>
      </w:pPr>
      <w:r>
        <w:rPr>
          <w:rFonts w:eastAsia="Arial" w:cs="Arial"/>
          <w:rtl/>
        </w:rPr>
        <w:t>5.2 يجوز لمقدمي الخدمات استخدام محفظة أو خاصية رصيد مماثلة لدفع رسوم المنصة، بما في ذلك رسم الرد ورسم اختيار مقدم الخدمة الموضحين في اتفاقية مقدم الخدمة. ونعالج بيانات الدفع والمحفظة بالقدر اللازم لتشغيل هذه الوظائف، ومعالجة المبالغ المستردة أو عمليات السحب، ومنع إساءة استخدام المدفوعات، والاحتفاظ بالسجلات المطلوبة.</w:t>
      </w:r>
    </w:p>
    <w:p w14:paraId="502BA5BF" w14:textId="77777777">
      <w:pPr>
        <w:bidi/>
        <w:jc w:val="right"/>
      </w:pPr>
      <w:r>
        <w:rPr>
          <w:rFonts w:eastAsia="Arial" w:cs="Arial"/>
          <w:rtl/>
        </w:rPr>
        <w:lastRenderedPageBreak/>
        <w:t>5.3 قد تتم معالجة بطاقات الدفع بواسطة مقدم خدمات دفع خارجي. ولا تعتزم Al Ayman تخزين أرقام بطاقات الدفع كاملةً عندما تتم معالجة البطاقات مباشرةً بواسطة ذلك المقدم.</w:t>
      </w:r>
    </w:p>
    <w:p w14:paraId="35826714" w14:textId="77777777">
      <w:pPr>
        <w:bidi/>
        <w:jc w:val="right"/>
      </w:pPr>
      <w:r>
        <w:rPr>
          <w:rFonts w:eastAsia="Arial" w:cs="Arial"/>
          <w:rtl/>
        </w:rPr>
        <w:t>5.4 وفق نموذج المنصة الحالي، يتم ترتيب دفع ثمن الخدمة الأساسية مباشرةً بين العميل ومقدم الخدمة خارج المنصة. ولا تعالج Al Ayman سعر الخدمة لمجرد أن الطرفين التقيا عبر المنصة.</w:t>
      </w:r>
    </w:p>
    <w:p w14:paraId="66B94A2C" w14:textId="77777777">
      <w:pPr>
        <w:pStyle w:val="1"/>
        <w:bidi/>
        <w:jc w:val="right"/>
      </w:pPr>
      <w:r>
        <w:rPr>
          <w:rFonts w:ascii="Arial" w:eastAsia="Arial" w:hAnsi="Arial" w:cs="Arial"/>
          <w:rtl/>
        </w:rPr>
        <w:t>6. متى نفصح عن البيانات الشخصية</w:t>
      </w:r>
    </w:p>
    <w:p w14:paraId="6D5F6701" w14:textId="77777777">
      <w:pPr>
        <w:bidi/>
        <w:jc w:val="right"/>
      </w:pPr>
      <w:r>
        <w:rPr>
          <w:rFonts w:eastAsia="Arial" w:cs="Arial"/>
          <w:rtl/>
        </w:rPr>
        <w:t>يجوز لنا الإفصاح عن البيانات الشخصية فقط عندما يكون ذلك ضرورياً بصورة معقولة للأغراض الموضحة في هذه السياسة، بما في ذلك إلى:</w:t>
      </w:r>
    </w:p>
    <w:p w14:paraId="7FFF7637" w14:textId="77777777">
      <w:pPr>
        <w:pStyle w:val="a0"/>
        <w:bidi/>
        <w:ind w:left="317" w:hanging="173"/>
        <w:jc w:val="right"/>
      </w:pPr>
      <w:r>
        <w:rPr>
          <w:rFonts w:eastAsia="Arial" w:cs="Arial"/>
          <w:rtl/>
        </w:rPr>
        <w:t>مستخدمين آخرين للمنصة عندما يكون ذلك ضرورياً لطلب أو رد أو ملف مقدم الخدمة أو مراجعة أو اتفاقية خدمة؛</w:t>
      </w:r>
    </w:p>
    <w:p w14:paraId="0667088E" w14:textId="77777777">
      <w:pPr>
        <w:pStyle w:val="a0"/>
        <w:bidi/>
        <w:ind w:left="317" w:hanging="173"/>
        <w:jc w:val="right"/>
      </w:pPr>
      <w:r>
        <w:rPr>
          <w:rFonts w:eastAsia="Arial" w:cs="Arial"/>
          <w:rtl/>
        </w:rPr>
        <w:t>مقدمي الخدمات الذين يدعمون معالجة المدفوعات والمصادقة والاتصالات والاستضافة السحابية والبنية التحتية والخرائط أو وظائف الموقع والتحليلات والأمن ومراقبة الأخطاء ودعم العملاء والتحقق؛</w:t>
      </w:r>
    </w:p>
    <w:p w14:paraId="39BFEAB4" w14:textId="77777777">
      <w:pPr>
        <w:pStyle w:val="a0"/>
        <w:bidi/>
        <w:ind w:left="317" w:hanging="173"/>
        <w:jc w:val="right"/>
      </w:pPr>
      <w:r>
        <w:rPr>
          <w:rFonts w:eastAsia="Arial" w:cs="Arial"/>
          <w:rtl/>
        </w:rPr>
        <w:t>المستشارين المهنيين أو المدققين أو شركات التأمين عندما يكون ذلك ضرورياً بصورة معقولة؛</w:t>
      </w:r>
    </w:p>
    <w:p w14:paraId="129BE14C" w14:textId="77777777">
      <w:pPr>
        <w:pStyle w:val="a0"/>
        <w:bidi/>
        <w:ind w:left="317" w:hanging="173"/>
        <w:jc w:val="right"/>
      </w:pPr>
      <w:r>
        <w:rPr>
          <w:rFonts w:eastAsia="Arial" w:cs="Arial"/>
          <w:rtl/>
        </w:rPr>
        <w:t>المحاكم المختصة أو الجهات التنظيمية أو جهات إنفاذ القانون أو السلطات الأخرى عندما يكون الإفصاح مطلوباً أو مسموحاً به بموجب القانون المعمول به؛ و</w:t>
      </w:r>
    </w:p>
    <w:p w14:paraId="011ED54A" w14:textId="77777777">
      <w:pPr>
        <w:pStyle w:val="a0"/>
        <w:bidi/>
        <w:ind w:left="317" w:hanging="173"/>
        <w:jc w:val="right"/>
      </w:pPr>
      <w:r>
        <w:rPr>
          <w:rFonts w:eastAsia="Arial" w:cs="Arial"/>
          <w:rtl/>
        </w:rPr>
        <w:t>مشتري أو خلف أو مستشار ذي صلة فيما يتعلق باندماج أو إعادة هيكلة أو تمويل أو استحواذ أو نقل مشروع للمنصة، مع مراعاة ضمانات السرية والحماية القانونية المناسبة.</w:t>
      </w:r>
    </w:p>
    <w:p w14:paraId="16E91F99" w14:textId="77777777">
      <w:pPr>
        <w:bidi/>
        <w:jc w:val="right"/>
      </w:pPr>
      <w:r>
        <w:rPr>
          <w:rFonts w:eastAsia="Arial" w:cs="Arial"/>
          <w:rtl/>
        </w:rPr>
        <w:t>لا نبيع البيانات الشخصية كمنتج تجاري مستقل. ويُتوقع من مقدمي الخدمات معالجة البيانات الشخصية فقط للأغراض المصرح بها ووفقاً لمتطلبات تعاقدية وأمنية مناسبة.</w:t>
      </w:r>
    </w:p>
    <w:p w14:paraId="086DEE67" w14:textId="77777777">
      <w:pPr>
        <w:pStyle w:val="1"/>
        <w:bidi/>
        <w:jc w:val="right"/>
      </w:pPr>
      <w:r>
        <w:rPr>
          <w:rFonts w:ascii="Arial" w:eastAsia="Arial" w:hAnsi="Arial" w:cs="Arial"/>
          <w:rtl/>
        </w:rPr>
        <w:t>7. عمليات النقل الدولية</w:t>
      </w:r>
    </w:p>
    <w:p w14:paraId="7C5F9EC6" w14:textId="77777777">
      <w:pPr>
        <w:bidi/>
        <w:jc w:val="right"/>
      </w:pPr>
      <w:r>
        <w:rPr>
          <w:rFonts w:eastAsia="Arial" w:cs="Arial"/>
          <w:rtl/>
        </w:rPr>
        <w:t>قد يقوم بعض مقدمي الخدمات أو الأنظمة التقنية المستخدمة لتشغيل المنصة بمعالجة البيانات الشخصية أو تخزينها خارج دولة الإمارات العربية المتحدة. وعند نقل البيانات الشخصية دولياً، ستستخدم Al Ayman آلية نقل وضمانات يسمح بها قانون حماية البيانات المعمول به في دولة الإمارات، مع مراعاة الوجهة والمتلقي وطبيعة المعالجة.</w:t>
      </w:r>
    </w:p>
    <w:p w14:paraId="7B5B00B5" w14:textId="77777777">
      <w:pPr>
        <w:bidi/>
        <w:jc w:val="right"/>
      </w:pPr>
      <w:r>
        <w:rPr>
          <w:rFonts w:eastAsia="Arial" w:cs="Arial"/>
          <w:rtl/>
        </w:rPr>
        <w:t>حيثما يكون ذلك مطلوباً، قد يشمل ذلك النقل إلى ولايات قضائية معترف بها على أنها توفر مستوى كافياً من الحماية أو استخدام ضمانات تعاقدية أو تنظيمية أو قانونية أخرى يسمح بها قانون حماية البيانات الشخصية في دولة الإمارات. ولا نقرر أن آلية تعاقدية أجنبية تستوفي تلقائياً متطلبات النقل في دولة الإمارات لمجرد استخدامها بموجب قانون الخصوصية في دولة أخرى.</w:t>
      </w:r>
    </w:p>
    <w:p w14:paraId="6D37220D" w14:textId="77777777">
      <w:pPr>
        <w:pStyle w:val="1"/>
        <w:bidi/>
        <w:jc w:val="right"/>
      </w:pPr>
      <w:r>
        <w:rPr>
          <w:rFonts w:ascii="Arial" w:eastAsia="Arial" w:hAnsi="Arial" w:cs="Arial"/>
          <w:rtl/>
        </w:rPr>
        <w:t>8. الاحتفاظ بالبيانات</w:t>
      </w:r>
    </w:p>
    <w:p w14:paraId="77224820" w14:textId="77777777">
      <w:pPr>
        <w:bidi/>
        <w:jc w:val="right"/>
      </w:pPr>
      <w:r>
        <w:rPr>
          <w:rFonts w:eastAsia="Arial" w:cs="Arial"/>
          <w:rtl/>
        </w:rPr>
        <w:t>نحتفظ بالبيانات الشخصية فقط للمدة المعقولة اللازمة للغرض الذي جُمعت من أجله وللوفاء بالمتطلبات القانونية والمحاسبية والأمنية ومتطلبات تسوية المنازعات وحفظ السجلات المعمول بها.</w:t>
      </w:r>
    </w:p>
    <w:tbl>
      <w:tblPr>
        <w:tblStyle w:val="aff0"/>
        <w:bidiVisual/>
        <w:tblW w:w="0" w:type="auto"/>
        <w:jc w:val="right"/>
        <w:tblLook w:val="04A0" w:firstRow="1" w:lastRow="0" w:firstColumn="1" w:lastColumn="0" w:noHBand="0" w:noVBand="1"/>
      </w:tblPr>
      <w:tblGrid>
        <w:gridCol w:w="5040"/>
        <w:gridCol w:w="5040"/>
      </w:tblGrid>
      <w:tr w14:paraId="147E2117" w14:textId="77777777">
        <w:trPr>
          <w:jc w:val="right"/>
        </w:trPr>
        <w:tc>
          <w:tcPr>
            <w:tcW w:w="5040" w:type="dxa"/>
            <w:shd w:val="clear" w:color="auto" w:fill="D9EAF7"/>
            <w:vAlign w:val="center"/>
          </w:tcPr>
          <w:p w14:paraId="7935FA1E" w14:textId="77777777">
            <w:pPr>
              <w:bidi/>
              <w:jc w:val="right"/>
            </w:pPr>
            <w:r>
              <w:rPr>
                <w:rFonts w:eastAsia="Arial" w:cs="Arial"/>
                <w:rtl/>
              </w:rPr>
              <w:t>نوع البيانات</w:t>
            </w:r>
          </w:p>
        </w:tc>
        <w:tc>
          <w:tcPr>
            <w:tcW w:w="5040" w:type="dxa"/>
            <w:shd w:val="clear" w:color="auto" w:fill="D9EAF7"/>
            <w:vAlign w:val="center"/>
          </w:tcPr>
          <w:p w14:paraId="26C952E7" w14:textId="77777777">
            <w:pPr>
              <w:bidi/>
              <w:jc w:val="right"/>
            </w:pPr>
            <w:r>
              <w:rPr>
                <w:rFonts w:eastAsia="Arial" w:cs="Arial"/>
                <w:rtl/>
              </w:rPr>
              <w:t>النهج العام</w:t>
            </w:r>
          </w:p>
        </w:tc>
      </w:tr>
      <w:tr w14:paraId="0CF17BFD" w14:textId="77777777">
        <w:trPr>
          <w:jc w:val="right"/>
        </w:trPr>
        <w:tc>
          <w:tcPr>
            <w:tcW w:w="5040" w:type="dxa"/>
            <w:vAlign w:val="center"/>
          </w:tcPr>
          <w:p w14:paraId="45C83989" w14:textId="77777777">
            <w:pPr>
              <w:bidi/>
              <w:jc w:val="right"/>
            </w:pPr>
            <w:r>
              <w:rPr>
                <w:rFonts w:eastAsia="Arial" w:cs="Arial"/>
                <w:rtl/>
              </w:rPr>
              <w:t>بيانات الحساب والملف الشخصي</w:t>
            </w:r>
          </w:p>
        </w:tc>
        <w:tc>
          <w:tcPr>
            <w:tcW w:w="5040" w:type="dxa"/>
            <w:vAlign w:val="center"/>
          </w:tcPr>
          <w:p w14:paraId="2D540FDE" w14:textId="77777777">
            <w:pPr>
              <w:bidi/>
              <w:jc w:val="right"/>
            </w:pPr>
            <w:r>
              <w:rPr>
                <w:rFonts w:eastAsia="Arial" w:cs="Arial"/>
                <w:rtl/>
              </w:rPr>
              <w:t>يتم الاحتفاظ بها طوال فترة نشاط الحساب وبعدها للمدة المعقولة اللازمة للأغراض القانونية والأمنية وتسوية المنازعات.</w:t>
            </w:r>
          </w:p>
        </w:tc>
      </w:tr>
      <w:tr w14:paraId="6407D0D9" w14:textId="77777777">
        <w:trPr>
          <w:jc w:val="right"/>
        </w:trPr>
        <w:tc>
          <w:tcPr>
            <w:tcW w:w="5040" w:type="dxa"/>
            <w:vAlign w:val="center"/>
          </w:tcPr>
          <w:p w14:paraId="272E3F33" w14:textId="77777777">
            <w:pPr>
              <w:bidi/>
              <w:jc w:val="right"/>
            </w:pPr>
            <w:r>
              <w:rPr>
                <w:rFonts w:eastAsia="Arial" w:cs="Arial"/>
                <w:rtl/>
              </w:rPr>
              <w:t>سجلات الطلبات والردود واتفاقيات الخدمة</w:t>
            </w:r>
          </w:p>
        </w:tc>
        <w:tc>
          <w:tcPr>
            <w:tcW w:w="5040" w:type="dxa"/>
            <w:vAlign w:val="center"/>
          </w:tcPr>
          <w:p w14:paraId="343B5A66" w14:textId="77777777">
            <w:pPr>
              <w:bidi/>
              <w:jc w:val="right"/>
            </w:pPr>
            <w:r>
              <w:rPr>
                <w:rFonts w:eastAsia="Arial" w:cs="Arial"/>
                <w:rtl/>
              </w:rPr>
              <w:t>يتم الاحتفاظ بها للمدة المعقولة اللازمة لإدارة المنصة ومعالجة المنازعات وإقامة المطالبات القانونية أو الدفاع عنها.</w:t>
            </w:r>
          </w:p>
        </w:tc>
      </w:tr>
      <w:tr w14:paraId="6B4D611F" w14:textId="77777777">
        <w:trPr>
          <w:jc w:val="right"/>
        </w:trPr>
        <w:tc>
          <w:tcPr>
            <w:tcW w:w="5040" w:type="dxa"/>
            <w:vAlign w:val="center"/>
          </w:tcPr>
          <w:p w14:paraId="1AE3EDD9" w14:textId="77777777">
            <w:pPr>
              <w:bidi/>
              <w:jc w:val="right"/>
            </w:pPr>
            <w:r>
              <w:rPr>
                <w:rFonts w:eastAsia="Arial" w:cs="Arial"/>
                <w:rtl/>
              </w:rPr>
              <w:t>محادثات المنصة واتصالات الدعم</w:t>
            </w:r>
          </w:p>
        </w:tc>
        <w:tc>
          <w:tcPr>
            <w:tcW w:w="5040" w:type="dxa"/>
            <w:vAlign w:val="center"/>
          </w:tcPr>
          <w:p w14:paraId="35286F94" w14:textId="77777777">
            <w:pPr>
              <w:bidi/>
              <w:jc w:val="right"/>
            </w:pPr>
            <w:r>
              <w:rPr>
                <w:rFonts w:eastAsia="Arial" w:cs="Arial"/>
                <w:rtl/>
              </w:rPr>
              <w:t>يتم الاحتفاظ بها للأغراض التشغيلية والسلامة والشكاوى والمنازعات، ولمدة أطول عندما يكون ذلك مطلوباً لتحقيق قائم أو مطالبة قانونية.</w:t>
            </w:r>
          </w:p>
        </w:tc>
      </w:tr>
      <w:tr w14:paraId="6E2C3A23" w14:textId="77777777">
        <w:trPr>
          <w:jc w:val="right"/>
        </w:trPr>
        <w:tc>
          <w:tcPr>
            <w:tcW w:w="5040" w:type="dxa"/>
            <w:vAlign w:val="center"/>
          </w:tcPr>
          <w:p w14:paraId="1293D2BB" w14:textId="77777777">
            <w:pPr>
              <w:bidi/>
              <w:jc w:val="right"/>
            </w:pPr>
            <w:r>
              <w:rPr>
                <w:rFonts w:eastAsia="Arial" w:cs="Arial"/>
                <w:rtl/>
              </w:rPr>
              <w:t>سجلات التحقق من مقدمي الخدمات</w:t>
            </w:r>
          </w:p>
        </w:tc>
        <w:tc>
          <w:tcPr>
            <w:tcW w:w="5040" w:type="dxa"/>
            <w:vAlign w:val="center"/>
          </w:tcPr>
          <w:p w14:paraId="4C081C23" w14:textId="77777777">
            <w:pPr>
              <w:bidi/>
              <w:jc w:val="right"/>
            </w:pPr>
            <w:r>
              <w:rPr>
                <w:rFonts w:eastAsia="Arial" w:cs="Arial"/>
                <w:rtl/>
              </w:rPr>
              <w:t>يتم الاحتفاظ بها ما دامت ذات صلة بأهلية مقدم الخدمة، وبعد ذلك عندما يكون الاحتفاظ بها ضرورياً بصورة معقولة للامتثال أو المنازعات أو سجل التحقق.</w:t>
            </w:r>
          </w:p>
        </w:tc>
      </w:tr>
      <w:tr w14:paraId="7136D60F" w14:textId="77777777">
        <w:trPr>
          <w:jc w:val="right"/>
        </w:trPr>
        <w:tc>
          <w:tcPr>
            <w:tcW w:w="5040" w:type="dxa"/>
            <w:vAlign w:val="center"/>
          </w:tcPr>
          <w:p w14:paraId="31BF3F3C" w14:textId="77777777">
            <w:pPr>
              <w:bidi/>
              <w:jc w:val="right"/>
            </w:pPr>
            <w:r>
              <w:rPr>
                <w:rFonts w:eastAsia="Arial" w:cs="Arial"/>
                <w:rtl/>
              </w:rPr>
              <w:t>سجلات الدفع والسجلات المالية لمقدمي الخدمات</w:t>
            </w:r>
          </w:p>
        </w:tc>
        <w:tc>
          <w:tcPr>
            <w:tcW w:w="5040" w:type="dxa"/>
            <w:vAlign w:val="center"/>
          </w:tcPr>
          <w:p w14:paraId="10E9B7A4" w14:textId="77777777">
            <w:pPr>
              <w:bidi/>
              <w:jc w:val="right"/>
            </w:pPr>
            <w:r>
              <w:rPr>
                <w:rFonts w:eastAsia="Arial" w:cs="Arial"/>
                <w:rtl/>
              </w:rPr>
              <w:t>يتم الاحتفاظ بها للمدة التي تقتضيها الالتزامات الضريبية والمحاسبية والمتعلقة بالدفع والالتزامات القانونية المعمول بها.</w:t>
            </w:r>
          </w:p>
        </w:tc>
      </w:tr>
      <w:tr w14:paraId="5DFE7BE2" w14:textId="77777777">
        <w:trPr>
          <w:jc w:val="right"/>
        </w:trPr>
        <w:tc>
          <w:tcPr>
            <w:tcW w:w="5040" w:type="dxa"/>
            <w:vAlign w:val="center"/>
          </w:tcPr>
          <w:p w14:paraId="5FBEE23A" w14:textId="77777777">
            <w:pPr>
              <w:bidi/>
              <w:jc w:val="right"/>
            </w:pPr>
            <w:r>
              <w:rPr>
                <w:rFonts w:eastAsia="Arial" w:cs="Arial"/>
                <w:rtl/>
              </w:rPr>
              <w:t>سجلات الأمن والسجلات التقنية</w:t>
            </w:r>
          </w:p>
        </w:tc>
        <w:tc>
          <w:tcPr>
            <w:tcW w:w="5040" w:type="dxa"/>
            <w:vAlign w:val="center"/>
          </w:tcPr>
          <w:p w14:paraId="38F9B0C0" w14:textId="77777777">
            <w:pPr>
              <w:bidi/>
              <w:jc w:val="right"/>
            </w:pPr>
            <w:r>
              <w:rPr>
                <w:rFonts w:eastAsia="Arial" w:cs="Arial"/>
                <w:rtl/>
              </w:rPr>
              <w:t>يتم الاحتفاظ بها لمدة تتناسب مع احتياجات الأمن ومنع الاحتيال والتحقيق.</w:t>
            </w:r>
          </w:p>
        </w:tc>
      </w:tr>
      <w:tr w14:paraId="16629C3A" w14:textId="77777777">
        <w:trPr>
          <w:jc w:val="right"/>
        </w:trPr>
        <w:tc>
          <w:tcPr>
            <w:tcW w:w="5040" w:type="dxa"/>
            <w:vAlign w:val="center"/>
          </w:tcPr>
          <w:p w14:paraId="06E3678B" w14:textId="77777777">
            <w:pPr>
              <w:bidi/>
              <w:jc w:val="right"/>
            </w:pPr>
            <w:r>
              <w:rPr>
                <w:rFonts w:eastAsia="Arial" w:cs="Arial"/>
                <w:rtl/>
              </w:rPr>
              <w:t>تفضيلات التسويق</w:t>
            </w:r>
          </w:p>
        </w:tc>
        <w:tc>
          <w:tcPr>
            <w:tcW w:w="5040" w:type="dxa"/>
            <w:vAlign w:val="center"/>
          </w:tcPr>
          <w:p w14:paraId="5D07FC30" w14:textId="77777777">
            <w:pPr>
              <w:bidi/>
              <w:jc w:val="right"/>
            </w:pPr>
            <w:r>
              <w:rPr>
                <w:rFonts w:eastAsia="Arial" w:cs="Arial"/>
                <w:rtl/>
              </w:rPr>
              <w:t xml:space="preserve">يتم الاحتفاظ بها بالقدر اللازم لاحترام اختيارات المستخدم المتعلقة </w:t>
            </w:r>
            <w:r>
              <w:rPr>
                <w:rFonts w:eastAsia="Arial" w:cs="Arial"/>
                <w:rtl/>
              </w:rPr>
              <w:lastRenderedPageBreak/>
              <w:t>بالموافقة أو إلغاء الاشتراك.</w:t>
            </w:r>
          </w:p>
        </w:tc>
      </w:tr>
      <w:tr w14:paraId="297B555F" w14:textId="77777777">
        <w:trPr>
          <w:jc w:val="right"/>
        </w:trPr>
        <w:tc>
          <w:tcPr>
            <w:tcW w:w="5040" w:type="dxa"/>
            <w:vAlign w:val="center"/>
          </w:tcPr>
          <w:p w14:paraId="601007ED" w14:textId="77777777">
            <w:pPr>
              <w:bidi/>
              <w:jc w:val="right"/>
            </w:pPr>
            <w:r>
              <w:rPr>
                <w:rFonts w:eastAsia="Arial" w:cs="Arial"/>
                <w:rtl/>
              </w:rPr>
              <w:lastRenderedPageBreak/>
              <w:t>ملفات تعريف الارتباط والتقنيات المماثلة</w:t>
            </w:r>
          </w:p>
        </w:tc>
        <w:tc>
          <w:tcPr>
            <w:tcW w:w="5040" w:type="dxa"/>
            <w:vAlign w:val="center"/>
          </w:tcPr>
          <w:p w14:paraId="620D0B67" w14:textId="77777777">
            <w:pPr>
              <w:bidi/>
              <w:jc w:val="right"/>
            </w:pPr>
            <w:r>
              <w:rPr>
                <w:rFonts w:eastAsia="Arial" w:cs="Arial"/>
                <w:rtl/>
              </w:rPr>
              <w:t>يتم الاحتفاظ بها كما هو موضح في سياسة ملفات تعريف الارتباط وإعدادات الموافقة المعمول بها.</w:t>
            </w:r>
          </w:p>
        </w:tc>
      </w:tr>
    </w:tbl>
    <w:p w14:paraId="7B86E703" w14:textId="77777777">
      <w:pPr>
        <w:bidi/>
        <w:jc w:val="right"/>
      </w:pPr>
      <w:r>
        <w:rPr>
          <w:rFonts w:eastAsia="Arial" w:cs="Arial"/>
          <w:rtl/>
        </w:rPr>
        <w:t>عندما لا تعود البيانات الشخصية مطلوبة، سنحذفها أو نجعلها مجهولة الهوية أو نعزلها بصورة آمنة إذا تعين تأخير الحذف لسبب مشروع.</w:t>
      </w:r>
    </w:p>
    <w:p w14:paraId="01596590" w14:textId="77777777">
      <w:pPr>
        <w:pStyle w:val="1"/>
        <w:bidi/>
        <w:jc w:val="right"/>
      </w:pPr>
      <w:r>
        <w:rPr>
          <w:rFonts w:ascii="Arial" w:eastAsia="Arial" w:hAnsi="Arial" w:cs="Arial"/>
          <w:rtl/>
        </w:rPr>
        <w:t>9. الأمن</w:t>
      </w:r>
    </w:p>
    <w:p w14:paraId="5D9A085F" w14:textId="77777777">
      <w:pPr>
        <w:bidi/>
        <w:jc w:val="right"/>
      </w:pPr>
      <w:r>
        <w:rPr>
          <w:rFonts w:eastAsia="Arial" w:cs="Arial"/>
          <w:rtl/>
        </w:rPr>
        <w:t>تستخدم Al Ayman تدابير تقنية وتنظيمية معقولة تتناسب مع طبيعة البيانات الشخصية والمخاطر ذات الصلة. وقد تشمل ضوابط الوصول وإجراءات المصادقة والتشفير حيثما يكون مناسباً والتسجيل والنسخ الاحتياطي ومراقبة الأمن والقيود المفروضة على وصول الموظفين.</w:t>
      </w:r>
    </w:p>
    <w:p w14:paraId="79401427" w14:textId="77777777">
      <w:pPr>
        <w:bidi/>
        <w:jc w:val="right"/>
      </w:pPr>
      <w:r>
        <w:rPr>
          <w:rFonts w:eastAsia="Arial" w:cs="Arial"/>
          <w:rtl/>
        </w:rPr>
        <w:t>لا يمكن لأي خدمة عبر الإنترنت أن تضمن أمناً مطلقاً. ويتحمل المستخدمون مسؤولية الحفاظ على سرية بيانات اعتماد الحساب، وينبغي لهم إخطار Al Ayman فوراً إذا اشتبهوا في وصول غير مصرح به إلى الحساب.</w:t>
      </w:r>
    </w:p>
    <w:p w14:paraId="2A521A33" w14:textId="77777777">
      <w:pPr>
        <w:bidi/>
        <w:jc w:val="right"/>
      </w:pPr>
      <w:r>
        <w:rPr>
          <w:rFonts w:eastAsia="Arial" w:cs="Arial"/>
          <w:rtl/>
        </w:rPr>
        <w:t>عند وقوع خرق للبيانات الشخصية، ستقوم Al Ayman بتقييمه ومعالجته وتقديم أي إخطارات يقتضيها قانون دولة الإمارات المعمول به.</w:t>
      </w:r>
    </w:p>
    <w:p w14:paraId="2AC3DDF0" w14:textId="77777777">
      <w:pPr>
        <w:pStyle w:val="1"/>
        <w:bidi/>
        <w:jc w:val="right"/>
      </w:pPr>
      <w:r>
        <w:rPr>
          <w:rFonts w:ascii="Arial" w:eastAsia="Arial" w:hAnsi="Arial" w:cs="Arial"/>
          <w:rtl/>
        </w:rPr>
        <w:t>10. محادثة المنصة والإشراف</w:t>
      </w:r>
    </w:p>
    <w:p w14:paraId="3725F7A3" w14:textId="77777777">
      <w:pPr>
        <w:bidi/>
        <w:jc w:val="right"/>
      </w:pPr>
      <w:r>
        <w:rPr>
          <w:rFonts w:eastAsia="Arial" w:cs="Arial"/>
          <w:rtl/>
        </w:rPr>
        <w:t>10.1 تهدف محادثة المنصة إلى تسهيل التواصل المتعلق بالطلبات واتفاقيات الخدمة. وقد تتم معالجة محتوى المحادثة لتسليم الرسائل وتقديم الدعم والتحقيق في الشكاوى وإنفاذ قواعد المنصة وحماية المستخدمين ومنع الاحتيال أو التحايل على الرسوم.</w:t>
      </w:r>
    </w:p>
    <w:p w14:paraId="4699EB93" w14:textId="77777777">
      <w:pPr>
        <w:bidi/>
        <w:jc w:val="right"/>
      </w:pPr>
      <w:r>
        <w:rPr>
          <w:rFonts w:eastAsia="Arial" w:cs="Arial"/>
          <w:rtl/>
        </w:rPr>
        <w:t>10.2 يجوز لـ Al Ayman استخدام أدوات آلية متناسبة للتعرف على مؤشرات الرسائل المزعجة أو الاحتيال أو مشاركة معلومات الاتصال المحظورة أو الإساءة أو غيرها من مخالفات القواعد. ويجوز للموظفين المخولين مراجعة المراسلات ذات الصلة عندما يتم الإبلاغ عن رسالة أو يقدم مستخدم شكوى أو تنشأ مسألة أمنية أو امتثال أو تكون المراجعة ضرورية بصورة معقولة ومشروعة لأي سبب آخر.</w:t>
      </w:r>
    </w:p>
    <w:p w14:paraId="19EF4B8F" w14:textId="77777777">
      <w:pPr>
        <w:bidi/>
        <w:jc w:val="right"/>
      </w:pPr>
      <w:r>
        <w:rPr>
          <w:rFonts w:eastAsia="Arial" w:cs="Arial"/>
          <w:rtl/>
        </w:rPr>
        <w:t>10.3 لا نقرر أن كل رسالة يقرأها شخص. ويقتصر الوصول إلى محتوى المحادثة وفقاً للحاجة التشغيلية وضوابط الوصول المعمول بها.</w:t>
      </w:r>
    </w:p>
    <w:p w14:paraId="0C3268AC" w14:textId="77777777">
      <w:pPr>
        <w:bidi/>
        <w:jc w:val="right"/>
      </w:pPr>
      <w:r>
        <w:rPr>
          <w:rFonts w:eastAsia="Arial" w:cs="Arial"/>
          <w:rtl/>
        </w:rPr>
        <w:t>10.4 يجوز الاحتفاظ بسجلات المحادثة عندما يكون ذلك ضرورياً بصورة معقولة لمعالجة الشكاوى والسلامة ومنع الاحتيال وأدلة المنازعات والالتزامات القانونية.</w:t>
      </w:r>
    </w:p>
    <w:p w14:paraId="04E6390C" w14:textId="77777777">
      <w:pPr>
        <w:pStyle w:val="1"/>
        <w:bidi/>
        <w:jc w:val="right"/>
      </w:pPr>
      <w:r>
        <w:rPr>
          <w:rFonts w:ascii="Arial" w:eastAsia="Arial" w:hAnsi="Arial" w:cs="Arial"/>
          <w:rtl/>
        </w:rPr>
        <w:t>11. المعالجة الآلية</w:t>
      </w:r>
    </w:p>
    <w:p w14:paraId="0F273B6F" w14:textId="77777777">
      <w:pPr>
        <w:bidi/>
        <w:jc w:val="right"/>
      </w:pPr>
      <w:r>
        <w:rPr>
          <w:rFonts w:eastAsia="Arial" w:cs="Arial"/>
          <w:rtl/>
        </w:rPr>
        <w:t>يجوز لـ Al Ayman استخدام المعالجة الآلية لدعم وظائف مثل مطابقة مقدمي الخدمات ذوي الصلة أو ترتيبهم ومراقبة الأمن وكشف الاحتيال والإشراف التقني. ويظل العميل مسؤولاً عن اختيار مقدم الخدمة.</w:t>
      </w:r>
    </w:p>
    <w:p w14:paraId="6F1FBC08" w14:textId="01D3BFF0">
      <w:pPr>
        <w:bidi/>
        <w:jc w:val="right"/>
      </w:pPr>
      <w:r>
        <w:rPr>
          <w:rFonts w:eastAsia="Arial" w:cs="Arial"/>
          <w:rtl/>
        </w:rPr>
        <w:t xml:space="preserve">إذا منح قانون دولة الإمارات المعمول به الفرد حقوقاً فيما يتعلق بقرار يستند حصراً إلى المعالجة الآلية وينتج آثاراً جوهرية، فستوفر Al Ayman الحقوق والضمانات التي يقتضيها ذلك القانون. ويمكن للمستخدمين التواصل عبر </w:t>
      </w:r>
      <w:r>
        <w:rPr>
          <w:rFonts w:eastAsia="Arial" w:cs="Arial"/>
          <w:rtl/>
        </w:rPr>
        <w:t>support</w:t>
      </w:r>
      <w:r>
        <w:rPr>
          <w:rFonts w:eastAsia="Arial" w:cs="Arial"/>
          <w:rtl/>
        </w:rPr>
        <w:t>@alayman.ae بشأن القرارات الآلية ذات الأثر الجوهري.</w:t>
      </w:r>
    </w:p>
    <w:p w14:paraId="2F7D6D47" w14:textId="77777777">
      <w:pPr>
        <w:pStyle w:val="1"/>
        <w:bidi/>
        <w:jc w:val="right"/>
      </w:pPr>
      <w:r>
        <w:rPr>
          <w:rFonts w:ascii="Arial" w:eastAsia="Arial" w:hAnsi="Arial" w:cs="Arial"/>
          <w:rtl/>
        </w:rPr>
        <w:t>12. حقوقك في حماية البيانات</w:t>
      </w:r>
    </w:p>
    <w:p w14:paraId="79D605B2" w14:textId="77777777">
      <w:pPr>
        <w:bidi/>
        <w:jc w:val="right"/>
      </w:pPr>
      <w:r>
        <w:rPr>
          <w:rFonts w:eastAsia="Arial" w:cs="Arial"/>
          <w:rtl/>
        </w:rPr>
        <w:t>مع مراعاة الشروط والاستثناءات الواردة في قانون دولة الإمارات المعمول به، قد تكون للأفراد حقوق تتعلق ببياناتهم الشخصية، بما في ذلك الحق في الحصول على معلومات عن المعالجة والوصول إلى البيانات الشخصية، وطلب التصحيح، وطلب الحذف حيثما ينطبق، وتقييد بعض أوجه المعالجة أو الاعتراض عليها، وطلب نقل البيانات حيثما ينطبق، وسحب الموافقة عندما تستند المعالجة إليها، وتقديم شكوى بشأن التعامل مع البيانات الشخصية.</w:t>
      </w:r>
    </w:p>
    <w:p w14:paraId="22A573C1" w14:textId="2D64D564">
      <w:pPr>
        <w:bidi/>
        <w:jc w:val="right"/>
      </w:pPr>
      <w:r>
        <w:rPr>
          <w:rFonts w:eastAsia="Arial" w:cs="Arial"/>
          <w:rtl/>
        </w:rPr>
        <w:t xml:space="preserve">يمكن تقديم الطلبات إلى </w:t>
      </w:r>
      <w:r>
        <w:rPr>
          <w:rFonts w:eastAsia="Arial" w:cs="Arial"/>
          <w:rtl/>
        </w:rPr>
        <w:t>support</w:t>
      </w:r>
      <w:r>
        <w:rPr>
          <w:rFonts w:eastAsia="Arial" w:cs="Arial"/>
          <w:rtl/>
        </w:rPr>
        <w:t>@alayman.ae. وقد نطلب معلومات معقولة للتحقق من الهوية قبل اتخاذ إجراء بشأن الطلب. وسنرد خلال المدة التي يقتضيها القانون المعمول به وسنوضح الحالات التي لا يمكن فيها تنفيذ الطلب بصورة مشروعة.</w:t>
      </w:r>
    </w:p>
    <w:p w14:paraId="405670C8" w14:textId="77777777">
      <w:pPr>
        <w:bidi/>
        <w:jc w:val="right"/>
      </w:pPr>
      <w:r>
        <w:rPr>
          <w:rFonts w:eastAsia="Arial" w:cs="Arial"/>
          <w:rtl/>
        </w:rPr>
        <w:t>لا يؤثر سحب الموافقة في المعالجة التي تمت بصورة مشروعة قبل السحب، ولا يمنع المعالجة المستندة إلى أساس قانوني آخر.</w:t>
      </w:r>
    </w:p>
    <w:p w14:paraId="4F316EF0" w14:textId="77777777">
      <w:pPr>
        <w:pStyle w:val="1"/>
        <w:bidi/>
        <w:jc w:val="right"/>
      </w:pPr>
      <w:r>
        <w:rPr>
          <w:rFonts w:ascii="Arial" w:eastAsia="Arial" w:hAnsi="Arial" w:cs="Arial"/>
          <w:rtl/>
        </w:rPr>
        <w:t>13. الأطفال</w:t>
      </w:r>
    </w:p>
    <w:p w14:paraId="3679D590" w14:textId="77777777">
      <w:pPr>
        <w:bidi/>
        <w:jc w:val="right"/>
      </w:pPr>
      <w:r>
        <w:rPr>
          <w:rFonts w:eastAsia="Arial" w:cs="Arial"/>
          <w:rtl/>
        </w:rPr>
        <w:t>الخدمات المسجلة ذات الطبيعة التعاقدية في المنصة مخصصة للأشخاص الذين تبلغ أعمارهم 18 عاماً أو أكثر. ولا نسمح عن علم لشخص يقل عمره عن 18 عاماً بالتسجيل بصفته عميلاً أو مقدم خدمة. وإذا علمنا بأن بيانات شخصية لطفل قد جُمعت بالمخالفة للمتطلبات المعمول بها، فسنتخذ الخطوات المناسبة، والتي قد تشمل حذف الحساب والبيانات ذات الصلة أو تقييدهما.</w:t>
      </w:r>
    </w:p>
    <w:p w14:paraId="7B02D01F" w14:textId="77777777">
      <w:pPr>
        <w:pStyle w:val="1"/>
        <w:bidi/>
        <w:jc w:val="right"/>
      </w:pPr>
      <w:r>
        <w:rPr>
          <w:rFonts w:ascii="Arial" w:eastAsia="Arial" w:hAnsi="Arial" w:cs="Arial"/>
          <w:rtl/>
        </w:rPr>
        <w:lastRenderedPageBreak/>
        <w:t>14. ملفات تعريف الارتباط والتقنيات المماثلة</w:t>
      </w:r>
    </w:p>
    <w:p w14:paraId="35F73B29" w14:textId="77777777">
      <w:pPr>
        <w:bidi/>
        <w:jc w:val="right"/>
      </w:pPr>
      <w:r>
        <w:rPr>
          <w:rFonts w:eastAsia="Arial" w:cs="Arial"/>
          <w:rtl/>
        </w:rPr>
        <w:t>قد تستخدم المنصة ملفات تعريف الارتباط والتخزين المحلي وحزم تطوير البرمجيات (SDKs) للهواتف المتحركة وتقنيات مماثلة للوظائف الأساسية والأمن والتفضيلات والتحليلات، وللتسويق حيثما يكون مفعلاً. وستتم معالجة التقنيات غير الأساسية وفقاً لمتطلبات الموافقة المعمول بها. وترد معلومات إضافية في سياسة ملفات تعريف الارتباط وأدوات التحكم ذات الصلة بالتفضيلات.</w:t>
      </w:r>
    </w:p>
    <w:p w14:paraId="68A55E25" w14:textId="77777777">
      <w:pPr>
        <w:pStyle w:val="1"/>
        <w:bidi/>
        <w:jc w:val="right"/>
      </w:pPr>
      <w:r>
        <w:rPr>
          <w:rFonts w:ascii="Arial" w:eastAsia="Arial" w:hAnsi="Arial" w:cs="Arial"/>
          <w:rtl/>
        </w:rPr>
        <w:t>15. التغييرات على سياسة الخصوصية هذه</w:t>
      </w:r>
    </w:p>
    <w:p w14:paraId="2B19B1DF" w14:textId="77777777">
      <w:pPr>
        <w:bidi/>
        <w:jc w:val="right"/>
      </w:pPr>
      <w:r>
        <w:rPr>
          <w:rFonts w:eastAsia="Arial" w:cs="Arial"/>
          <w:rtl/>
        </w:rPr>
        <w:t>يجوز لنا تحديث هذه السياسة لتعكس التغييرات في القانون أو وظائف المنصة أو مقدمي الخدمات أو ممارسات المعالجة لدينا. وستتاح النسخة الحالية وتاريخ السريان من خلال المنصة.</w:t>
      </w:r>
    </w:p>
    <w:p w14:paraId="13C9783A" w14:textId="77777777">
      <w:pPr>
        <w:bidi/>
        <w:jc w:val="right"/>
        <w:rPr>
          <w:rFonts w:eastAsia="Arial" w:cs="Arial"/>
        </w:rPr>
      </w:pPr>
      <w:r>
        <w:rPr>
          <w:rFonts w:eastAsia="Arial" w:cs="Arial"/>
          <w:rtl/>
        </w:rPr>
        <w:t>إذا كان التغيير يؤثر بصورة جوهرية في المستخدمين، فسنقدم إشعاراً مناسباً. وإذا تطلب نشاط معالجة جديد موافقة، فسنحصل على الموافقة المطلوبة قبل الاعتماد عليها.</w:t>
      </w:r>
    </w:p>
    <w:p w14:paraId="57D62474" w14:textId="6FF6AC67">
      <w:pPr>
        <w:pStyle w:val="1"/>
        <w:bidi/>
        <w:jc w:val="right"/>
      </w:pPr>
      <w:r>
        <w:rPr>
          <w:rFonts w:ascii="Arial" w:eastAsia="Arial" w:hAnsi="Arial" w:cs="Arial"/>
        </w:rPr>
        <w:t>16</w:t>
      </w:r>
      <w:r>
        <w:rPr>
          <w:rFonts w:ascii="Arial" w:eastAsia="Arial" w:hAnsi="Arial" w:cs="Arial"/>
          <w:rtl/>
        </w:rPr>
        <w:t>. أحكام عامة</w:t>
      </w:r>
    </w:p>
    <w:p w14:paraId="0E651B54" w14:textId="68550CAA">
      <w:pPr>
        <w:bidi/>
        <w:jc w:val="right"/>
        <w:rPr>
          <w:sz w:val="22"/>
        </w:rPr>
      </w:pPr>
      <w:proofErr w:type="spellStart"/>
      <w:r>
        <w:rPr>
          <w:sz w:val="22"/>
        </w:rPr>
        <w:t>تم</w:t>
      </w:r>
      <w:proofErr w:type="spellEnd"/>
      <w:r>
        <w:rPr>
          <w:sz w:val="22"/>
        </w:rPr>
        <w:t xml:space="preserve"> </w:t>
      </w:r>
      <w:proofErr w:type="spellStart"/>
      <w:r>
        <w:rPr>
          <w:sz w:val="22"/>
        </w:rPr>
        <w:t>إعداد</w:t>
      </w:r>
      <w:proofErr w:type="spellEnd"/>
      <w:r>
        <w:rPr>
          <w:sz w:val="22"/>
        </w:rPr>
        <w:t xml:space="preserve"> </w:t>
      </w:r>
      <w:proofErr w:type="spellStart"/>
      <w:r>
        <w:rPr>
          <w:sz w:val="22"/>
        </w:rPr>
        <w:t>هذه</w:t>
      </w:r>
      <w:proofErr w:type="spellEnd"/>
      <w:r>
        <w:rPr>
          <w:sz w:val="22"/>
        </w:rPr>
        <w:t xml:space="preserve"> </w:t>
      </w:r>
      <w:proofErr w:type="spellStart"/>
      <w:r>
        <w:rPr>
          <w:sz w:val="22"/>
        </w:rPr>
        <w:t>السياسة</w:t>
      </w:r>
      <w:proofErr w:type="spellEnd"/>
      <w:r>
        <w:rPr>
          <w:sz w:val="22"/>
        </w:rPr>
        <w:t xml:space="preserve"> </w:t>
      </w:r>
      <w:proofErr w:type="spellStart"/>
      <w:r>
        <w:rPr>
          <w:sz w:val="22"/>
        </w:rPr>
        <w:t>باللغة</w:t>
      </w:r>
      <w:proofErr w:type="spellEnd"/>
      <w:r>
        <w:rPr>
          <w:sz w:val="22"/>
        </w:rPr>
        <w:t xml:space="preserve"> </w:t>
      </w:r>
      <w:proofErr w:type="spellStart"/>
      <w:r>
        <w:rPr>
          <w:sz w:val="22"/>
        </w:rPr>
        <w:t>الإنجليزية</w:t>
      </w:r>
      <w:proofErr w:type="spellEnd"/>
      <w:r>
        <w:rPr>
          <w:sz w:val="22"/>
        </w:rPr>
        <w:t xml:space="preserve">، </w:t>
      </w:r>
      <w:proofErr w:type="spellStart"/>
      <w:r>
        <w:rPr>
          <w:sz w:val="22"/>
        </w:rPr>
        <w:t>ويجوز</w:t>
      </w:r>
      <w:proofErr w:type="spellEnd"/>
      <w:r>
        <w:rPr>
          <w:sz w:val="22"/>
        </w:rPr>
        <w:t xml:space="preserve"> </w:t>
      </w:r>
      <w:proofErr w:type="spellStart"/>
      <w:r>
        <w:rPr>
          <w:sz w:val="22"/>
        </w:rPr>
        <w:t>ترجمتها</w:t>
      </w:r>
      <w:proofErr w:type="spellEnd"/>
      <w:r>
        <w:rPr>
          <w:sz w:val="22"/>
        </w:rPr>
        <w:t xml:space="preserve"> </w:t>
      </w:r>
      <w:proofErr w:type="spellStart"/>
      <w:r>
        <w:rPr>
          <w:sz w:val="22"/>
        </w:rPr>
        <w:t>إلى</w:t>
      </w:r>
      <w:proofErr w:type="spellEnd"/>
      <w:r>
        <w:rPr>
          <w:sz w:val="22"/>
        </w:rPr>
        <w:t xml:space="preserve"> </w:t>
      </w:r>
      <w:proofErr w:type="spellStart"/>
      <w:r>
        <w:rPr>
          <w:sz w:val="22"/>
        </w:rPr>
        <w:t>لغات</w:t>
      </w:r>
      <w:proofErr w:type="spellEnd"/>
      <w:r>
        <w:rPr>
          <w:sz w:val="22"/>
        </w:rPr>
        <w:t xml:space="preserve"> </w:t>
      </w:r>
      <w:proofErr w:type="spellStart"/>
      <w:r>
        <w:rPr>
          <w:sz w:val="22"/>
        </w:rPr>
        <w:t>أخرى</w:t>
      </w:r>
      <w:proofErr w:type="spellEnd"/>
      <w:r>
        <w:rPr>
          <w:sz w:val="22"/>
        </w:rPr>
        <w:t xml:space="preserve"> </w:t>
      </w:r>
      <w:proofErr w:type="spellStart"/>
      <w:r>
        <w:rPr>
          <w:sz w:val="22"/>
        </w:rPr>
        <w:t>لتسهيل</w:t>
      </w:r>
      <w:proofErr w:type="spellEnd"/>
      <w:r>
        <w:rPr>
          <w:sz w:val="22"/>
        </w:rPr>
        <w:t xml:space="preserve"> </w:t>
      </w:r>
      <w:proofErr w:type="spellStart"/>
      <w:r>
        <w:rPr>
          <w:sz w:val="22"/>
        </w:rPr>
        <w:t>الاطلاع</w:t>
      </w:r>
      <w:proofErr w:type="spellEnd"/>
      <w:r>
        <w:rPr>
          <w:sz w:val="22"/>
        </w:rPr>
        <w:t xml:space="preserve"> </w:t>
      </w:r>
      <w:proofErr w:type="spellStart"/>
      <w:r>
        <w:rPr>
          <w:sz w:val="22"/>
        </w:rPr>
        <w:t>عليها</w:t>
      </w:r>
      <w:proofErr w:type="spellEnd"/>
      <w:r>
        <w:rPr>
          <w:sz w:val="22"/>
        </w:rPr>
        <w:t xml:space="preserve">. </w:t>
      </w:r>
      <w:proofErr w:type="spellStart"/>
      <w:r>
        <w:rPr>
          <w:sz w:val="22"/>
        </w:rPr>
        <w:t>وفي</w:t>
      </w:r>
      <w:proofErr w:type="spellEnd"/>
      <w:r>
        <w:rPr>
          <w:sz w:val="22"/>
        </w:rPr>
        <w:t xml:space="preserve"> </w:t>
      </w:r>
      <w:proofErr w:type="spellStart"/>
      <w:r>
        <w:rPr>
          <w:sz w:val="22"/>
        </w:rPr>
        <w:t>حدود</w:t>
      </w:r>
      <w:proofErr w:type="spellEnd"/>
      <w:r>
        <w:rPr>
          <w:sz w:val="22"/>
        </w:rPr>
        <w:t xml:space="preserve"> </w:t>
      </w:r>
      <w:proofErr w:type="spellStart"/>
      <w:r>
        <w:rPr>
          <w:sz w:val="22"/>
        </w:rPr>
        <w:t>ما</w:t>
      </w:r>
      <w:proofErr w:type="spellEnd"/>
      <w:r>
        <w:rPr>
          <w:sz w:val="22"/>
        </w:rPr>
        <w:t xml:space="preserve"> </w:t>
      </w:r>
      <w:proofErr w:type="spellStart"/>
      <w:r>
        <w:rPr>
          <w:sz w:val="22"/>
        </w:rPr>
        <w:t>يسمح</w:t>
      </w:r>
      <w:proofErr w:type="spellEnd"/>
      <w:r>
        <w:rPr>
          <w:sz w:val="22"/>
        </w:rPr>
        <w:t xml:space="preserve"> </w:t>
      </w:r>
      <w:proofErr w:type="spellStart"/>
      <w:r>
        <w:rPr>
          <w:sz w:val="22"/>
        </w:rPr>
        <w:t>به</w:t>
      </w:r>
      <w:proofErr w:type="spellEnd"/>
      <w:r>
        <w:rPr>
          <w:sz w:val="22"/>
        </w:rPr>
        <w:t xml:space="preserve"> </w:t>
      </w:r>
      <w:proofErr w:type="spellStart"/>
      <w:r>
        <w:rPr>
          <w:sz w:val="22"/>
        </w:rPr>
        <w:t>القانون</w:t>
      </w:r>
      <w:proofErr w:type="spellEnd"/>
      <w:r>
        <w:rPr>
          <w:sz w:val="22"/>
        </w:rPr>
        <w:t xml:space="preserve"> </w:t>
      </w:r>
      <w:proofErr w:type="spellStart"/>
      <w:r>
        <w:rPr>
          <w:sz w:val="22"/>
        </w:rPr>
        <w:t>المعمول</w:t>
      </w:r>
      <w:proofErr w:type="spellEnd"/>
      <w:r>
        <w:rPr>
          <w:sz w:val="22"/>
        </w:rPr>
        <w:t xml:space="preserve"> </w:t>
      </w:r>
      <w:proofErr w:type="spellStart"/>
      <w:r>
        <w:rPr>
          <w:sz w:val="22"/>
        </w:rPr>
        <w:t>به</w:t>
      </w:r>
      <w:proofErr w:type="spellEnd"/>
      <w:r>
        <w:rPr>
          <w:sz w:val="22"/>
        </w:rPr>
        <w:t xml:space="preserve">، </w:t>
      </w:r>
      <w:proofErr w:type="spellStart"/>
      <w:r>
        <w:rPr>
          <w:sz w:val="22"/>
        </w:rPr>
        <w:t>ستُستخدم</w:t>
      </w:r>
      <w:proofErr w:type="spellEnd"/>
      <w:r>
        <w:rPr>
          <w:sz w:val="22"/>
        </w:rPr>
        <w:t xml:space="preserve"> </w:t>
      </w:r>
      <w:proofErr w:type="spellStart"/>
      <w:r>
        <w:rPr>
          <w:sz w:val="22"/>
        </w:rPr>
        <w:t>النسخة</w:t>
      </w:r>
      <w:proofErr w:type="spellEnd"/>
      <w:r>
        <w:rPr>
          <w:sz w:val="22"/>
        </w:rPr>
        <w:t xml:space="preserve"> </w:t>
      </w:r>
      <w:proofErr w:type="spellStart"/>
      <w:r>
        <w:rPr>
          <w:sz w:val="22"/>
        </w:rPr>
        <w:t>الإنجليزية</w:t>
      </w:r>
      <w:proofErr w:type="spellEnd"/>
      <w:r>
        <w:rPr>
          <w:sz w:val="22"/>
        </w:rPr>
        <w:t xml:space="preserve"> </w:t>
      </w:r>
      <w:proofErr w:type="spellStart"/>
      <w:r>
        <w:rPr>
          <w:sz w:val="22"/>
        </w:rPr>
        <w:t>لتفسير</w:t>
      </w:r>
      <w:proofErr w:type="spellEnd"/>
      <w:r>
        <w:rPr>
          <w:sz w:val="22"/>
        </w:rPr>
        <w:t xml:space="preserve"> </w:t>
      </w:r>
      <w:proofErr w:type="spellStart"/>
      <w:r>
        <w:rPr>
          <w:sz w:val="22"/>
        </w:rPr>
        <w:t>أي</w:t>
      </w:r>
      <w:proofErr w:type="spellEnd"/>
      <w:r>
        <w:rPr>
          <w:sz w:val="22"/>
        </w:rPr>
        <w:t xml:space="preserve"> </w:t>
      </w:r>
      <w:proofErr w:type="spellStart"/>
      <w:r>
        <w:rPr>
          <w:sz w:val="22"/>
        </w:rPr>
        <w:t>اختلافات</w:t>
      </w:r>
      <w:proofErr w:type="spellEnd"/>
      <w:r>
        <w:rPr>
          <w:sz w:val="22"/>
        </w:rPr>
        <w:t xml:space="preserve"> </w:t>
      </w:r>
      <w:proofErr w:type="spellStart"/>
      <w:r>
        <w:rPr>
          <w:sz w:val="22"/>
        </w:rPr>
        <w:t>بين</w:t>
      </w:r>
      <w:proofErr w:type="spellEnd"/>
      <w:r>
        <w:rPr>
          <w:sz w:val="22"/>
        </w:rPr>
        <w:t xml:space="preserve"> </w:t>
      </w:r>
      <w:proofErr w:type="spellStart"/>
      <w:r>
        <w:rPr>
          <w:sz w:val="22"/>
        </w:rPr>
        <w:t>الترجمات</w:t>
      </w:r>
      <w:proofErr w:type="spellEnd"/>
      <w:r>
        <w:rPr>
          <w:sz w:val="22"/>
        </w:rPr>
        <w:t xml:space="preserve">. </w:t>
      </w:r>
      <w:proofErr w:type="spellStart"/>
      <w:r>
        <w:rPr>
          <w:sz w:val="22"/>
        </w:rPr>
        <w:t>ولا</w:t>
      </w:r>
      <w:proofErr w:type="spellEnd"/>
      <w:r>
        <w:rPr>
          <w:sz w:val="22"/>
        </w:rPr>
        <w:t xml:space="preserve"> </w:t>
      </w:r>
      <w:proofErr w:type="spellStart"/>
      <w:r>
        <w:rPr>
          <w:sz w:val="22"/>
        </w:rPr>
        <w:t>يلغي</w:t>
      </w:r>
      <w:proofErr w:type="spellEnd"/>
      <w:r>
        <w:rPr>
          <w:sz w:val="22"/>
        </w:rPr>
        <w:t xml:space="preserve"> </w:t>
      </w:r>
      <w:proofErr w:type="spellStart"/>
      <w:r>
        <w:rPr>
          <w:sz w:val="22"/>
        </w:rPr>
        <w:t>ذلك</w:t>
      </w:r>
      <w:proofErr w:type="spellEnd"/>
      <w:r>
        <w:rPr>
          <w:sz w:val="22"/>
        </w:rPr>
        <w:t xml:space="preserve"> </w:t>
      </w:r>
      <w:proofErr w:type="spellStart"/>
      <w:r>
        <w:rPr>
          <w:sz w:val="22"/>
        </w:rPr>
        <w:t>أي</w:t>
      </w:r>
      <w:proofErr w:type="spellEnd"/>
      <w:r>
        <w:rPr>
          <w:sz w:val="22"/>
        </w:rPr>
        <w:t xml:space="preserve"> </w:t>
      </w:r>
      <w:proofErr w:type="spellStart"/>
      <w:r>
        <w:rPr>
          <w:sz w:val="22"/>
        </w:rPr>
        <w:t>شرط</w:t>
      </w:r>
      <w:proofErr w:type="spellEnd"/>
      <w:r>
        <w:rPr>
          <w:sz w:val="22"/>
        </w:rPr>
        <w:t xml:space="preserve"> </w:t>
      </w:r>
      <w:proofErr w:type="spellStart"/>
      <w:r>
        <w:rPr>
          <w:sz w:val="22"/>
        </w:rPr>
        <w:t>إلزامي</w:t>
      </w:r>
      <w:proofErr w:type="spellEnd"/>
      <w:r>
        <w:rPr>
          <w:sz w:val="22"/>
        </w:rPr>
        <w:t xml:space="preserve"> </w:t>
      </w:r>
      <w:proofErr w:type="spellStart"/>
      <w:r>
        <w:rPr>
          <w:sz w:val="22"/>
        </w:rPr>
        <w:t>يتعلق</w:t>
      </w:r>
      <w:proofErr w:type="spellEnd"/>
      <w:r>
        <w:rPr>
          <w:sz w:val="22"/>
        </w:rPr>
        <w:t xml:space="preserve"> </w:t>
      </w:r>
      <w:proofErr w:type="spellStart"/>
      <w:r>
        <w:rPr>
          <w:sz w:val="22"/>
        </w:rPr>
        <w:t>باللغة</w:t>
      </w:r>
      <w:proofErr w:type="spellEnd"/>
      <w:r>
        <w:rPr>
          <w:sz w:val="22"/>
        </w:rPr>
        <w:t xml:space="preserve"> </w:t>
      </w:r>
      <w:proofErr w:type="spellStart"/>
      <w:r>
        <w:rPr>
          <w:sz w:val="22"/>
        </w:rPr>
        <w:t>العربية</w:t>
      </w:r>
      <w:proofErr w:type="spellEnd"/>
      <w:r>
        <w:rPr>
          <w:sz w:val="22"/>
        </w:rPr>
        <w:t xml:space="preserve"> </w:t>
      </w:r>
      <w:proofErr w:type="spellStart"/>
      <w:r>
        <w:rPr>
          <w:sz w:val="22"/>
        </w:rPr>
        <w:t>أو</w:t>
      </w:r>
      <w:proofErr w:type="spellEnd"/>
      <w:r>
        <w:rPr>
          <w:sz w:val="22"/>
        </w:rPr>
        <w:t xml:space="preserve"> </w:t>
      </w:r>
      <w:proofErr w:type="spellStart"/>
      <w:r>
        <w:rPr>
          <w:sz w:val="22"/>
        </w:rPr>
        <w:t>متطلبات</w:t>
      </w:r>
      <w:proofErr w:type="spellEnd"/>
      <w:r>
        <w:rPr>
          <w:sz w:val="22"/>
        </w:rPr>
        <w:t xml:space="preserve"> </w:t>
      </w:r>
      <w:proofErr w:type="spellStart"/>
      <w:r>
        <w:rPr>
          <w:sz w:val="22"/>
        </w:rPr>
        <w:t>أي</w:t>
      </w:r>
      <w:proofErr w:type="spellEnd"/>
      <w:r>
        <w:rPr>
          <w:sz w:val="22"/>
        </w:rPr>
        <w:t xml:space="preserve"> </w:t>
      </w:r>
      <w:proofErr w:type="spellStart"/>
      <w:r>
        <w:rPr>
          <w:sz w:val="22"/>
        </w:rPr>
        <w:t>محكمة</w:t>
      </w:r>
      <w:proofErr w:type="spellEnd"/>
      <w:r>
        <w:rPr>
          <w:sz w:val="22"/>
        </w:rPr>
        <w:t xml:space="preserve"> </w:t>
      </w:r>
      <w:proofErr w:type="spellStart"/>
      <w:r>
        <w:rPr>
          <w:sz w:val="22"/>
        </w:rPr>
        <w:t>أو</w:t>
      </w:r>
      <w:proofErr w:type="spellEnd"/>
      <w:r>
        <w:rPr>
          <w:sz w:val="22"/>
        </w:rPr>
        <w:t xml:space="preserve"> </w:t>
      </w:r>
      <w:proofErr w:type="spellStart"/>
      <w:r>
        <w:rPr>
          <w:sz w:val="22"/>
        </w:rPr>
        <w:t>سلطة</w:t>
      </w:r>
      <w:proofErr w:type="spellEnd"/>
      <w:r>
        <w:rPr>
          <w:sz w:val="22"/>
        </w:rPr>
        <w:t xml:space="preserve"> </w:t>
      </w:r>
      <w:proofErr w:type="spellStart"/>
      <w:r>
        <w:rPr>
          <w:sz w:val="22"/>
        </w:rPr>
        <w:t>مختصة</w:t>
      </w:r>
      <w:proofErr w:type="spellEnd"/>
      <w:r>
        <w:rPr>
          <w:sz w:val="22"/>
        </w:rPr>
        <w:t xml:space="preserve"> </w:t>
      </w:r>
      <w:proofErr w:type="spellStart"/>
      <w:r>
        <w:rPr>
          <w:sz w:val="22"/>
        </w:rPr>
        <w:t>في</w:t>
      </w:r>
      <w:proofErr w:type="spellEnd"/>
      <w:r>
        <w:rPr>
          <w:sz w:val="22"/>
        </w:rPr>
        <w:t xml:space="preserve"> </w:t>
      </w:r>
      <w:proofErr w:type="spellStart"/>
      <w:r>
        <w:rPr>
          <w:sz w:val="22"/>
        </w:rPr>
        <w:t>دولة</w:t>
      </w:r>
      <w:proofErr w:type="spellEnd"/>
      <w:r>
        <w:rPr>
          <w:sz w:val="22"/>
        </w:rPr>
        <w:t xml:space="preserve"> </w:t>
      </w:r>
      <w:proofErr w:type="spellStart"/>
      <w:r>
        <w:rPr>
          <w:sz w:val="22"/>
        </w:rPr>
        <w:t>الإمارات</w:t>
      </w:r>
      <w:proofErr w:type="spellEnd"/>
      <w:r>
        <w:rPr>
          <w:sz w:val="22"/>
        </w:rPr>
        <w:t xml:space="preserve"> </w:t>
      </w:r>
      <w:proofErr w:type="spellStart"/>
      <w:r>
        <w:rPr>
          <w:sz w:val="22"/>
        </w:rPr>
        <w:t>العربية</w:t>
      </w:r>
      <w:proofErr w:type="spellEnd"/>
      <w:r>
        <w:rPr>
          <w:sz w:val="22"/>
        </w:rPr>
        <w:t xml:space="preserve"> </w:t>
      </w:r>
      <w:proofErr w:type="spellStart"/>
      <w:r>
        <w:rPr>
          <w:sz w:val="22"/>
        </w:rPr>
        <w:t>المتحدة</w:t>
      </w:r>
      <w:proofErr w:type="spellEnd"/>
      <w:r>
        <w:rPr>
          <w:sz w:val="22"/>
        </w:rPr>
        <w:t>.</w:t>
      </w:r>
    </w:p>
    <w:p w14:paraId="33161619" w14:textId="0E06A17D">
      <w:pPr>
        <w:pStyle w:val="1"/>
        <w:bidi/>
        <w:jc w:val="right"/>
      </w:pPr>
      <w:r>
        <w:rPr>
          <w:rFonts w:ascii="Arial" w:eastAsia="Arial" w:hAnsi="Arial" w:cs="Arial"/>
        </w:rPr>
        <w:t>17</w:t>
      </w:r>
      <w:r>
        <w:rPr>
          <w:rFonts w:ascii="Arial" w:eastAsia="Arial" w:hAnsi="Arial" w:cs="Arial"/>
          <w:rtl/>
        </w:rPr>
        <w:t>. التواصل والشكاوى</w:t>
      </w:r>
    </w:p>
    <w:p w14:paraId="715A8C6E" w14:textId="77777777">
      <w:pPr>
        <w:bidi/>
        <w:jc w:val="right"/>
      </w:pPr>
      <w:r>
        <w:rPr>
          <w:rFonts w:eastAsia="Arial" w:cs="Arial"/>
          <w:rtl/>
        </w:rPr>
        <w:t>يمكن إرسال الأسئلة والطلبات والشكاوى المتعلقة بالخصوصية إلى:</w:t>
      </w:r>
    </w:p>
    <w:p w14:paraId="39CA3F83" w14:textId="77777777">
      <w:pPr>
        <w:bidi/>
        <w:jc w:val="right"/>
      </w:pPr>
      <w:r>
        <w:rPr>
          <w:rFonts w:eastAsia="Arial" w:cs="Arial"/>
          <w:rtl/>
        </w:rPr>
        <w:t>Al Ayman Services Gateway L.L.C-FZ</w:t>
      </w:r>
    </w:p>
    <w:p w14:paraId="1EF35F7B" w14:textId="77777777">
      <w:pPr>
        <w:bidi/>
        <w:jc w:val="right"/>
        <w:rPr>
          <w:rFonts w:eastAsia="Arial" w:cs="Arial"/>
        </w:rPr>
      </w:pPr>
      <w:proofErr w:type="spellStart"/>
      <w:r>
        <w:rPr>
          <w:rFonts w:eastAsia="Arial" w:cs="Arial"/>
          <w:rtl/>
        </w:rPr>
        <w:t>Meydan</w:t>
      </w:r>
      <w:proofErr w:type="spellEnd"/>
      <w:r>
        <w:rPr>
          <w:rFonts w:eastAsia="Arial" w:cs="Arial"/>
          <w:rtl/>
        </w:rPr>
        <w:t xml:space="preserve"> </w:t>
      </w:r>
      <w:proofErr w:type="spellStart"/>
      <w:r>
        <w:rPr>
          <w:rFonts w:eastAsia="Arial" w:cs="Arial"/>
          <w:rtl/>
        </w:rPr>
        <w:t>Grandstand</w:t>
      </w:r>
      <w:proofErr w:type="spellEnd"/>
      <w:r>
        <w:rPr>
          <w:rFonts w:eastAsia="Arial" w:cs="Arial"/>
          <w:rtl/>
        </w:rPr>
        <w:t xml:space="preserve">, 6th </w:t>
      </w:r>
      <w:proofErr w:type="spellStart"/>
      <w:r>
        <w:rPr>
          <w:rFonts w:eastAsia="Arial" w:cs="Arial"/>
          <w:rtl/>
        </w:rPr>
        <w:t>Floor</w:t>
      </w:r>
      <w:proofErr w:type="spellEnd"/>
      <w:r>
        <w:rPr>
          <w:rFonts w:eastAsia="Arial" w:cs="Arial"/>
          <w:rtl/>
        </w:rPr>
        <w:t xml:space="preserve">, </w:t>
      </w:r>
      <w:proofErr w:type="spellStart"/>
      <w:r>
        <w:rPr>
          <w:rFonts w:eastAsia="Arial" w:cs="Arial"/>
          <w:rtl/>
        </w:rPr>
        <w:t>Meydan</w:t>
      </w:r>
      <w:proofErr w:type="spellEnd"/>
      <w:r>
        <w:rPr>
          <w:rFonts w:eastAsia="Arial" w:cs="Arial"/>
          <w:rtl/>
        </w:rPr>
        <w:t xml:space="preserve"> </w:t>
      </w:r>
      <w:proofErr w:type="spellStart"/>
      <w:r>
        <w:rPr>
          <w:rFonts w:eastAsia="Arial" w:cs="Arial"/>
          <w:rtl/>
        </w:rPr>
        <w:t>Road</w:t>
      </w:r>
      <w:proofErr w:type="spellEnd"/>
      <w:r>
        <w:rPr>
          <w:rFonts w:eastAsia="Arial" w:cs="Arial"/>
          <w:rtl/>
        </w:rPr>
        <w:t xml:space="preserve">, </w:t>
      </w:r>
      <w:proofErr w:type="spellStart"/>
      <w:r>
        <w:rPr>
          <w:rFonts w:eastAsia="Arial" w:cs="Arial"/>
          <w:rtl/>
        </w:rPr>
        <w:t>Nad</w:t>
      </w:r>
      <w:proofErr w:type="spellEnd"/>
      <w:r>
        <w:rPr>
          <w:rFonts w:eastAsia="Arial" w:cs="Arial"/>
          <w:rtl/>
        </w:rPr>
        <w:t xml:space="preserve"> Al </w:t>
      </w:r>
      <w:proofErr w:type="spellStart"/>
      <w:r>
        <w:rPr>
          <w:rFonts w:eastAsia="Arial" w:cs="Arial"/>
          <w:rtl/>
        </w:rPr>
        <w:t>Sheba</w:t>
      </w:r>
      <w:proofErr w:type="spellEnd"/>
      <w:r>
        <w:rPr>
          <w:rFonts w:eastAsia="Arial" w:cs="Arial"/>
          <w:rtl/>
        </w:rPr>
        <w:t xml:space="preserve">, </w:t>
      </w:r>
      <w:proofErr w:type="spellStart"/>
      <w:r>
        <w:rPr>
          <w:rFonts w:eastAsia="Arial" w:cs="Arial"/>
          <w:rtl/>
        </w:rPr>
        <w:t>Dubai</w:t>
      </w:r>
      <w:proofErr w:type="spellEnd"/>
      <w:r>
        <w:rPr>
          <w:rFonts w:eastAsia="Arial" w:cs="Arial"/>
          <w:rtl/>
        </w:rPr>
        <w:t>, U.A.E.</w:t>
      </w:r>
    </w:p>
    <w:p w14:paraId="3228C08E" w14:textId="6B6542E1">
      <w:pPr>
        <w:bidi/>
        <w:jc w:val="right"/>
      </w:pPr>
      <w:r>
        <w:rPr>
          <w:rFonts w:eastAsia="Arial" w:cs="Arial"/>
          <w:rtl/>
        </w:rPr>
        <w:t>الدعم: support@alayman.ae</w:t>
      </w:r>
    </w:p>
    <w:p w14:paraId="718CB1B5" w14:textId="77777777">
      <w:pPr>
        <w:bidi/>
        <w:jc w:val="right"/>
      </w:pPr>
      <w:r>
        <w:rPr>
          <w:rFonts w:eastAsia="Arial" w:cs="Arial"/>
          <w:rtl/>
        </w:rPr>
        <w:t>قد يكون للأفراد أيضاً الحق في تقديم شكوى إلى جهة حماية البيانات المختصة في دولة الإمارات وفقاً للقانون المعمول به. ونشجع المستخدمين على التواصل أولاً مع Al Ayman لإتاحة الفرصة لنا لمعالجة المسألة.</w:t>
      </w:r>
    </w:p>
    <w:p w14:paraId="3D8A66AA" w14:textId="7C19A4EF">
      <w:pPr>
        <w:bidi/>
        <w:jc w:val="right"/>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88A1B" w14:textId="77777777">
      <w:pPr>
        <w:spacing w:after="0" w:line="240" w:lineRule="auto"/>
      </w:pPr>
      <w:r>
        <w:separator/>
      </w:r>
    </w:p>
  </w:endnote>
  <w:endnote w:type="continuationSeparator" w:id="0">
    <w:p w14:paraId="66E919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B442" w14:textId="18520BC6">
    <w:pPr>
      <w:pStyle w:val="a7"/>
      <w:bid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36FDE" w14:textId="77777777">
      <w:pPr>
        <w:spacing w:after="0" w:line="240" w:lineRule="auto"/>
      </w:pPr>
      <w:r>
        <w:separator/>
      </w:r>
    </w:p>
  </w:footnote>
  <w:footnote w:type="continuationSeparator" w:id="0">
    <w:p w14:paraId="693791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91E3" w14:textId="77777777">
    <w:pPr>
      <w:pStyle w:val="a5"/>
      <w:jc w:val="right"/>
    </w:pPr>
    <w:r>
      <w:rPr>
        <w:color w:val="6E6E6E"/>
        <w:sz w:val="16"/>
      </w:rPr>
      <w:t>AL AYMAN SERVICES GATEWAY L.L.C-FZ</w:t>
    </w:r>
  </w:p>
  <w:p w14:paraId="2AB7F9EB" w14:textId="4E7C799B">
    <w:pPr>
      <w:pStyle w:val="a5"/>
      <w:bidi/>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19911606">
    <w:abstractNumId w:val="8"/>
  </w:num>
  <w:num w:numId="2" w16cid:durableId="1575817100">
    <w:abstractNumId w:val="6"/>
  </w:num>
  <w:num w:numId="3" w16cid:durableId="1979333120">
    <w:abstractNumId w:val="5"/>
  </w:num>
  <w:num w:numId="4" w16cid:durableId="1431505054">
    <w:abstractNumId w:val="4"/>
  </w:num>
  <w:num w:numId="5" w16cid:durableId="2022970116">
    <w:abstractNumId w:val="7"/>
  </w:num>
  <w:num w:numId="6" w16cid:durableId="91169661">
    <w:abstractNumId w:val="3"/>
  </w:num>
  <w:num w:numId="7" w16cid:durableId="1324238952">
    <w:abstractNumId w:val="2"/>
  </w:num>
  <w:num w:numId="8" w16cid:durableId="1208224220">
    <w:abstractNumId w:val="1"/>
  </w:num>
  <w:num w:numId="9" w16cid:durableId="1212503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0051F4"/>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rPr>
      <w:rFonts w:ascii="Arial" w:hAnsi="Arial"/>
    </w:rPr>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rPr>
      <w:rFonts w:ascii="Arial" w:hAnsi="Arial"/>
    </w:rPr>
  </w:style>
  <w:style w:type="paragraph" w:styleId="a9">
    <w:name w:val="No Spacing"/>
    <w:uiPriority w:val="1"/>
    <w:qFormat/>
    <w:pPr>
      <w:spacing w:after="0" w:line="240" w:lineRule="auto"/>
    </w:pPr>
    <w:rPr>
      <w:rFonts w:ascii="Arial" w:hAnsi="Arial"/>
    </w:r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rPr>
      <w:rFonts w:ascii="Arial" w:hAnsi="Arial"/>
    </w:rPr>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rPr>
      <w:rFonts w:ascii="Arial" w:hAnsi="Arial"/>
    </w:rPr>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rFonts w:ascii="Arial" w:hAnsi="Arial"/>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af4">
    <w:name w:val="Текст макроса Знак"/>
    <w:basedOn w:val="a2"/>
    <w:link w:val="af3"/>
    <w:uiPriority w:val="99"/>
    <w:rPr>
      <w:rFonts w:ascii="Arial" w:hAnsi="Arial"/>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rFonts w:ascii="Arial" w:hAnsi="Arial"/>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rFonts w:ascii="Arial" w:hAnsi="Arial"/>
      <w:b/>
      <w:bCs/>
    </w:rPr>
  </w:style>
  <w:style w:type="character" w:styleId="af7">
    <w:name w:val="Emphasis"/>
    <w:basedOn w:val="a2"/>
    <w:uiPriority w:val="20"/>
    <w:qFormat/>
    <w:rPr>
      <w:rFonts w:ascii="Arial" w:hAnsi="Arial"/>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rFonts w:ascii="Arial" w:hAnsi="Arial"/>
      <w:b/>
      <w:bCs/>
      <w:i/>
      <w:iCs/>
      <w:color w:val="4F81BD" w:themeColor="accent1"/>
    </w:rPr>
  </w:style>
  <w:style w:type="character" w:styleId="afa">
    <w:name w:val="Subtle Emphasis"/>
    <w:basedOn w:val="a2"/>
    <w:uiPriority w:val="19"/>
    <w:qFormat/>
    <w:rPr>
      <w:rFonts w:ascii="Arial" w:hAnsi="Arial"/>
      <w:i/>
      <w:iCs/>
      <w:color w:val="808080" w:themeColor="text1" w:themeTint="7F"/>
    </w:rPr>
  </w:style>
  <w:style w:type="character" w:styleId="afb">
    <w:name w:val="Intense Emphasis"/>
    <w:basedOn w:val="a2"/>
    <w:uiPriority w:val="21"/>
    <w:qFormat/>
    <w:rPr>
      <w:rFonts w:ascii="Arial" w:hAnsi="Arial"/>
      <w:b/>
      <w:bCs/>
      <w:i/>
      <w:iCs/>
      <w:color w:val="4F81BD" w:themeColor="accent1"/>
    </w:rPr>
  </w:style>
  <w:style w:type="character" w:styleId="afc">
    <w:name w:val="Subtle Reference"/>
    <w:basedOn w:val="a2"/>
    <w:uiPriority w:val="31"/>
    <w:qFormat/>
    <w:rPr>
      <w:rFonts w:ascii="Arial" w:hAnsi="Arial"/>
      <w:smallCaps/>
      <w:color w:val="C0504D" w:themeColor="accent2"/>
      <w:u w:val="single"/>
    </w:rPr>
  </w:style>
  <w:style w:type="character" w:styleId="afd">
    <w:name w:val="Intense Reference"/>
    <w:basedOn w:val="a2"/>
    <w:uiPriority w:val="32"/>
    <w:qFormat/>
    <w:rPr>
      <w:rFonts w:ascii="Arial" w:hAnsi="Arial"/>
      <w:b/>
      <w:bCs/>
      <w:smallCaps/>
      <w:color w:val="C0504D" w:themeColor="accent2"/>
      <w:spacing w:val="5"/>
      <w:u w:val="single"/>
    </w:rPr>
  </w:style>
  <w:style w:type="character" w:styleId="afe">
    <w:name w:val="Book Title"/>
    <w:basedOn w:val="a2"/>
    <w:uiPriority w:val="33"/>
    <w:qFormat/>
    <w:rPr>
      <w:rFonts w:ascii="Arial" w:hAnsi="Arial"/>
      <w:b/>
      <w:bCs/>
      <w:smallCaps/>
      <w:spacing w:val="5"/>
    </w:rPr>
  </w:style>
  <w:style w:type="paragraph" w:styleId="aff">
    <w:name w:val="TOC Heading"/>
    <w:basedOn w:val="1"/>
    <w:next w:val="a1"/>
    <w:uiPriority w:val="39"/>
    <w:semiHidden/>
    <w:unhideWhenUsed/>
    <w:qFormat/>
    <w:pPr>
      <w:outlineLvl w:val="9"/>
    </w:pPr>
    <w:rPr>
      <w:rFonts w:ascii="Arial" w:hAnsi="Arial"/>
    </w:rPr>
  </w:style>
  <w:style w:type="table" w:styleId="aff0">
    <w:name w:val="Table Grid"/>
    <w:basedOn w:val="a3"/>
    <w:uiPriority w:val="59"/>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rFonts w:ascii="Arial" w:hAnsi="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rFonts w:ascii="Arial" w:hAnsi="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rFonts w:ascii="Arial" w:hAnsi="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rFonts w:ascii="Arial" w:hAnsi="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rFonts w:ascii="Arial" w:hAnsi="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rFonts w:ascii="Arial" w:hAnsi="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rFonts w:ascii="Arial" w:hAnsi="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rPr>
      <w:rFonts w:ascii="Arial" w:hAnsi="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rPr>
      <w:rFonts w:ascii="Arial" w:hAnsi="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rPr>
      <w:rFonts w:ascii="Arial" w:hAnsi="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rPr>
      <w:rFonts w:ascii="Arial" w:hAnsi="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rPr>
      <w:rFonts w:ascii="Arial" w:hAnsi="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rPr>
      <w:rFonts w:ascii="Arial" w:hAnsi="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rPr>
      <w:rFonts w:ascii="Arial" w:hAnsi="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rPr>
      <w:rFonts w:ascii="Arial" w:hAnsi="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rFonts w:ascii="Arial" w:hAnsi="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rFonts w:ascii="Arial" w:hAnsi="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rFonts w:ascii="Arial" w:hAnsi="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rFonts w:ascii="Arial" w:hAnsi="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rFonts w:ascii="Arial" w:hAnsi="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rFonts w:ascii="Arial" w:hAnsi="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rFonts w:ascii="Arial" w:hAnsi="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rPr>
      <w:rFonts w:ascii="Arial" w:hAnsi="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rPr>
      <w:rFonts w:ascii="Arial" w:hAnsi="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rPr>
      <w:rFonts w:ascii="Arial" w:hAnsi="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rPr>
      <w:rFonts w:ascii="Arial" w:hAnsi="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rPr>
      <w:rFonts w:ascii="Arial" w:hAnsi="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rPr>
      <w:rFonts w:ascii="Arial" w:hAnsi="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rPr>
      <w:rFonts w:ascii="Arial" w:hAnsi="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rPr>
      <w:rFonts w:ascii="Arial" w:hAnsi="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rFonts w:ascii="Arial" w:hAnsi="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rFonts w:ascii="Arial" w:hAnsi="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rFonts w:ascii="Arial" w:hAnsi="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rFonts w:ascii="Arial" w:hAnsi="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rFonts w:ascii="Arial" w:hAnsi="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rFonts w:ascii="Arial" w:hAnsi="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rFonts w:ascii="Arial" w:hAnsi="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rFonts w:ascii="Arial" w:hAnsi="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rFonts w:ascii="Arial" w:hAnsi="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rFonts w:ascii="Arial" w:hAnsi="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rFonts w:ascii="Arial" w:hAnsi="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rFonts w:ascii="Arial" w:hAnsi="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rFonts w:ascii="Arial" w:hAnsi="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rFonts w:ascii="Arial" w:hAnsi="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rFonts w:ascii="Arial" w:hAnsi="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rFonts w:ascii="Arial" w:hAnsi="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rFonts w:ascii="Arial" w:hAnsi="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rFonts w:ascii="Arial" w:hAnsi="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rFonts w:ascii="Arial" w:hAnsi="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rFonts w:ascii="Arial" w:hAnsi="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5</Pages>
  <Words>2037</Words>
  <Characters>11614</Characters>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13624</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