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E6EB5" w14:textId="77777777">
      <w:pPr>
        <w:pStyle w:val="aa"/>
        <w:bidi/>
        <w:jc w:val="right"/>
      </w:pPr>
      <w:r>
        <w:rPr>
          <w:rFonts w:ascii="Arial" w:eastAsia="Arial" w:hAnsi="Arial" w:cs="Arial"/>
          <w:rtl/>
        </w:rPr>
        <w:t>سياسة ملفات تعريف الارتباط</w:t>
      </w:r>
    </w:p>
    <w:p w14:paraId="02FA0A45" w14:textId="6E6F1218">
      <w:pPr>
        <w:bidi/>
        <w:jc w:val="right"/>
        <w:rPr>
          <w:rFonts w:eastAsia="Arial" w:cs="Arial"/>
          <w:b/>
          <w:bCs/>
          <w:u w:val="single"/>
        </w:rPr>
      </w:pPr>
      <w:r>
        <w:rPr>
          <w:rFonts w:eastAsia="Arial" w:cs="Arial"/>
          <w:b/>
          <w:bCs/>
          <w:u w:val="single"/>
          <w:rtl/>
        </w:rPr>
        <w:t xml:space="preserve"> Al Ayman · alayman.ae</w:t>
      </w:r>
    </w:p>
    <w:p w14:paraId="3D10E50A" w14:textId="5D106003">
      <w:pPr>
        <w:bidi/>
        <w:jc w:val="right"/>
        <w:rPr>
          <w:sz w:val="22"/>
        </w:rPr>
      </w:pPr>
      <w:proofErr w:type="spellStart"/>
      <w:r>
        <w:rPr>
          <w:sz w:val="22"/>
        </w:rPr>
        <w:t>تاريخ</w:t>
      </w:r>
      <w:proofErr w:type="spellEnd"/>
      <w:r>
        <w:rPr>
          <w:sz w:val="22"/>
        </w:rPr>
        <w:t xml:space="preserve"> </w:t>
      </w:r>
      <w:proofErr w:type="spellStart"/>
      <w:r>
        <w:rPr>
          <w:sz w:val="22"/>
        </w:rPr>
        <w:t>السريان</w:t>
      </w:r>
      <w:proofErr w:type="spellEnd"/>
      <w:r>
        <w:rPr>
          <w:sz w:val="22"/>
        </w:rPr>
        <w:t xml:space="preserve"> – 1 </w:t>
      </w:r>
      <w:proofErr w:type="spellStart"/>
      <w:r>
        <w:rPr>
          <w:sz w:val="22"/>
        </w:rPr>
        <w:t>أكتوبر</w:t>
      </w:r>
      <w:proofErr w:type="spellEnd"/>
      <w:r>
        <w:rPr>
          <w:sz w:val="22"/>
        </w:rPr>
        <w:t xml:space="preserve"> 2026</w:t>
      </w:r>
    </w:p>
    <w:p w14:paraId="4648244C" w14:textId="77777777">
      <w:pPr>
        <w:bidi/>
        <w:jc w:val="right"/>
      </w:pPr>
      <w:r>
        <w:rPr>
          <w:rFonts w:eastAsia="Arial" w:cs="Arial"/>
          <w:rtl/>
        </w:rPr>
        <w:t>توضح سياسة ملفات تعريف الارتباط هذه كيفية استخدام Al Ayman Services Gateway L.L.C-FZ ("Al Ayman" أو "نحن" أو "لنا") لملفات تعريف الارتباط والتقنيات المماثلة على alayman.ae وتطبيقاتنا للهواتف المتحركة وخدمات المنصة ذات الصلة.</w:t>
      </w:r>
    </w:p>
    <w:p w14:paraId="58A548C1" w14:textId="77777777">
      <w:pPr>
        <w:bidi/>
        <w:jc w:val="right"/>
      </w:pPr>
      <w:r>
        <w:rPr>
          <w:rFonts w:eastAsia="Arial" w:cs="Arial"/>
          <w:rtl/>
        </w:rPr>
        <w:t>ينبغي قراءة هذه السياسة إلى جانب سياسة الخصوصية. وعندما ينطوي ملف تعريف ارتباط أو تقنية مماثلة على معالجة بيانات شخصية، تتم تلك المعالجة وفقاً لقانون حماية البيانات المعمول به في دولة الإمارات العربية المتحدة.</w:t>
      </w:r>
    </w:p>
    <w:p w14:paraId="57E50973" w14:textId="77777777">
      <w:pPr>
        <w:pStyle w:val="1"/>
        <w:bidi/>
        <w:jc w:val="right"/>
      </w:pPr>
      <w:r>
        <w:rPr>
          <w:rFonts w:ascii="Arial" w:eastAsia="Arial" w:hAnsi="Arial" w:cs="Arial"/>
          <w:rtl/>
        </w:rPr>
        <w:t>1. ما هي ملفات تعريف الارتباط والتقنيات المماثلة</w:t>
      </w:r>
    </w:p>
    <w:p w14:paraId="08A86BDB" w14:textId="77777777">
      <w:pPr>
        <w:bidi/>
        <w:jc w:val="right"/>
      </w:pPr>
      <w:r>
        <w:rPr>
          <w:rFonts w:eastAsia="Arial" w:cs="Arial"/>
          <w:rtl/>
        </w:rPr>
        <w:t>ملفات تعريف الارتباط هي ملفات بيانات صغيرة تُخزَّن في المتصفح أو الجهاز عند زيارة موقع إلكتروني. ويمكنها دعم وظائف مثل إبقاء المستخدم مسجلاً للدخول، وتذكر التفضيلات، وحماية الحساب، وفهم كيفية استخدام الموقع الإلكتروني.</w:t>
      </w:r>
    </w:p>
    <w:p w14:paraId="403E5353" w14:textId="77777777">
      <w:pPr>
        <w:bidi/>
        <w:jc w:val="right"/>
      </w:pPr>
      <w:r>
        <w:rPr>
          <w:rFonts w:eastAsia="Arial" w:cs="Arial"/>
          <w:rtl/>
        </w:rPr>
        <w:t>قد تستخدم المنصة أيضاً تقنيات مماثلة، بما في ذلك التخزين في المتصفح أو التطبيق، وحزم تطوير البرمجيات (SDKs) للهواتف المتحركة، ومعرّفات الجهاز أو التطبيق، ووحدات البكسل أو تقنيات مماثلة. وقد تختلف التقنية المستخدمة بين الموقع الإلكتروني وتطبيقات الهواتف المتحركة.</w:t>
      </w:r>
    </w:p>
    <w:p w14:paraId="320F7BC8" w14:textId="77777777">
      <w:pPr>
        <w:pStyle w:val="1"/>
        <w:bidi/>
        <w:jc w:val="right"/>
      </w:pPr>
      <w:r>
        <w:rPr>
          <w:rFonts w:ascii="Arial" w:eastAsia="Arial" w:hAnsi="Arial" w:cs="Arial"/>
          <w:rtl/>
        </w:rPr>
        <w:t>2. الفئات التي قد نستخدمها</w:t>
      </w:r>
    </w:p>
    <w:p w14:paraId="170C7F53" w14:textId="77777777">
      <w:pPr>
        <w:bidi/>
        <w:jc w:val="right"/>
      </w:pPr>
      <w:r>
        <w:rPr>
          <w:rFonts w:eastAsia="Arial" w:cs="Arial"/>
          <w:rtl/>
        </w:rPr>
        <w:t>بحسب خاصية المنصة واختيارات المستخدم، يجوز لـ Al Ayman استخدام الفئات التالية:</w:t>
      </w:r>
    </w:p>
    <w:p w14:paraId="557D5A8F" w14:textId="77777777">
      <w:pPr>
        <w:pStyle w:val="a0"/>
        <w:bidi/>
        <w:ind w:left="317" w:hanging="173"/>
        <w:jc w:val="right"/>
      </w:pPr>
      <w:r>
        <w:rPr>
          <w:rFonts w:eastAsia="Arial" w:cs="Arial"/>
          <w:rtl/>
        </w:rPr>
        <w:t>التقنيات الضرورية للغاية وتقنيات الأمن — تُستخدم لتسجيل الدخول والمصادقة وإدارة الجلسات والأمن ومنع الاحتيال وإدارة الأحمال وغيرها من الوظائف اللازمة لتوفير المنصة أو حمايتها.</w:t>
      </w:r>
    </w:p>
    <w:p w14:paraId="4507FDC2" w14:textId="77777777">
      <w:pPr>
        <w:pStyle w:val="a0"/>
        <w:bidi/>
        <w:ind w:left="317" w:hanging="173"/>
        <w:jc w:val="right"/>
      </w:pPr>
      <w:r>
        <w:rPr>
          <w:rFonts w:eastAsia="Arial" w:cs="Arial"/>
          <w:rtl/>
        </w:rPr>
        <w:t>تقنيات التفضيلات والوظائف — تُستخدم لتذكر الاختيارات مثل اللغة أو الموقع أو تفضيلات منطقة الخدمة وإعدادات الواجهة وغيرها من الوظائف المطلوبة.</w:t>
      </w:r>
    </w:p>
    <w:p w14:paraId="5E9EE533" w14:textId="77777777">
      <w:pPr>
        <w:pStyle w:val="a0"/>
        <w:bidi/>
        <w:ind w:left="317" w:hanging="173"/>
        <w:jc w:val="right"/>
      </w:pPr>
      <w:r>
        <w:rPr>
          <w:rFonts w:eastAsia="Arial" w:cs="Arial"/>
          <w:rtl/>
        </w:rPr>
        <w:t>تقنيات التحليلات والأداء — تُستخدم لفهم كيفية استخدام المنصة وتشخيص الأخطاء وقياس الأداء وتحسين الخصائص.</w:t>
      </w:r>
    </w:p>
    <w:p w14:paraId="10CBBAAF" w14:textId="77777777">
      <w:pPr>
        <w:pStyle w:val="a0"/>
        <w:bidi/>
        <w:ind w:left="317" w:hanging="173"/>
        <w:jc w:val="right"/>
      </w:pPr>
      <w:r>
        <w:rPr>
          <w:rFonts w:eastAsia="Arial" w:cs="Arial"/>
          <w:rtl/>
        </w:rPr>
        <w:t>تقنيات التسويق أو الإعلان — تُستخدم، إذا تم تفعيلها، لقياس الحملات أو توفير وظائف ترويجية أو إعلانية.</w:t>
      </w:r>
    </w:p>
    <w:p w14:paraId="72C5874A" w14:textId="77777777">
      <w:pPr>
        <w:bidi/>
        <w:jc w:val="right"/>
      </w:pPr>
      <w:r>
        <w:rPr>
          <w:rFonts w:eastAsia="Arial" w:cs="Arial"/>
          <w:rtl/>
        </w:rPr>
        <w:t>ليس من الضروري أن تكون كل فئة مفعلة في جميع الأوقات. ويجوز لـ Al Ayman تغيير التقنيات المحددة المستخدمة مع تطور المنصة، مع مراعاة هذه السياسة ومتطلبات الموافقة المعمول بها.</w:t>
      </w:r>
    </w:p>
    <w:p w14:paraId="1EE4192C" w14:textId="77777777">
      <w:pPr>
        <w:pStyle w:val="1"/>
        <w:bidi/>
        <w:jc w:val="right"/>
      </w:pPr>
      <w:r>
        <w:rPr>
          <w:rFonts w:ascii="Arial" w:eastAsia="Arial" w:hAnsi="Arial" w:cs="Arial"/>
          <w:rtl/>
        </w:rPr>
        <w:t>3. متى تُستخدم الموافقة</w:t>
      </w:r>
    </w:p>
    <w:p w14:paraId="2FA6670E" w14:textId="77777777">
      <w:pPr>
        <w:bidi/>
        <w:jc w:val="right"/>
      </w:pPr>
      <w:r>
        <w:rPr>
          <w:rFonts w:eastAsia="Arial" w:cs="Arial"/>
          <w:rtl/>
        </w:rPr>
        <w:t>يجوز تشغيل التقنيات اللازمة لتقديم خدمة طلبها المستخدم أو المحافظة على الأمن أو أداء الوظائف الأساسية للمنصة دون اختيار اختياري للموافقة على ملفات تعريف الارتباط، حيثما يسمح القانون المعمول به بذلك.</w:t>
      </w:r>
    </w:p>
    <w:p w14:paraId="1DCC5529" w14:textId="77777777">
      <w:pPr>
        <w:bidi/>
        <w:jc w:val="right"/>
      </w:pPr>
      <w:r>
        <w:rPr>
          <w:rFonts w:eastAsia="Arial" w:cs="Arial"/>
          <w:rtl/>
        </w:rPr>
        <w:t>عندما تكون الموافقة مطلوبة للتحليلات أو التسويق أو غيرها من التقنيات غير الأساسية، ستطلب Al Ayman تلك الموافقة قبل تفعيل التقنية ذات الصلة. ويجوز للمستخدمين رفض هذه الموافقة أو سحبها لاحقاً دون فقدان الوصول إلى الوظائف التي لا تعتمد على تلك التقنية.</w:t>
      </w:r>
    </w:p>
    <w:p w14:paraId="42EBCDE7" w14:textId="77777777">
      <w:pPr>
        <w:bidi/>
        <w:jc w:val="right"/>
      </w:pPr>
      <w:r>
        <w:rPr>
          <w:rFonts w:eastAsia="Arial" w:cs="Arial"/>
          <w:rtl/>
        </w:rPr>
        <w:t>لا يؤثر سحب الموافقة في المعالجة التي كانت مشروعة قبل السحب.</w:t>
      </w:r>
    </w:p>
    <w:p w14:paraId="6B46DFBF" w14:textId="77777777">
      <w:pPr>
        <w:pStyle w:val="1"/>
        <w:bidi/>
        <w:jc w:val="right"/>
      </w:pPr>
      <w:r>
        <w:rPr>
          <w:rFonts w:ascii="Arial" w:eastAsia="Arial" w:hAnsi="Arial" w:cs="Arial"/>
          <w:rtl/>
        </w:rPr>
        <w:t>4. ضوابط ملفات تعريف الارتباط والخصوصية</w:t>
      </w:r>
    </w:p>
    <w:p w14:paraId="19029182" w14:textId="77777777">
      <w:pPr>
        <w:bidi/>
        <w:jc w:val="right"/>
      </w:pPr>
      <w:r>
        <w:rPr>
          <w:rFonts w:eastAsia="Arial" w:cs="Arial"/>
          <w:rtl/>
        </w:rPr>
        <w:t>عند استخدام تقنيات غير أساسية، قد توفر المنصة لافتة لملفات تعريف الارتباط أو إعدادات للخصوصية أو وسيلة أخرى للتحكم في التفضيلات. وبحسب التقنيات المفعلة، قد يتمكن المستخدمون من قبول أو رفض فئات التقنيات غير الأساسية وتغيير تلك الاختيارات لاحقاً.</w:t>
      </w:r>
    </w:p>
    <w:p w14:paraId="1294EA17" w14:textId="77777777">
      <w:pPr>
        <w:bidi/>
        <w:jc w:val="right"/>
      </w:pPr>
      <w:r>
        <w:rPr>
          <w:rFonts w:eastAsia="Arial" w:cs="Arial"/>
          <w:rtl/>
        </w:rPr>
        <w:t>يمكن للمستخدمين أيضاً التحكم في العديد من ملفات تعريف الارتباط الخاصة بالمتصفح من خلال إعدادات المتصفح أو الجهاز. وقد يؤدي حظر جميع ملفات تعريف الارتباط أو وسائل التخزين إلى منع تسجيل الدخول أو وظائف الأمن أو غيرها من وظائف المنصة الأساسية من العمل بصورة صحيحة.</w:t>
      </w:r>
    </w:p>
    <w:p w14:paraId="75E5413B" w14:textId="77777777">
      <w:pPr>
        <w:bidi/>
        <w:jc w:val="right"/>
      </w:pPr>
      <w:r>
        <w:rPr>
          <w:rFonts w:eastAsia="Arial" w:cs="Arial"/>
          <w:rtl/>
        </w:rPr>
        <w:t>قد تعتمد تطبيقات الهواتف المتحركة بالإضافة إلى ذلك على أذونات نظام التشغيل أو إعدادات الخصوصية داخل التطبيق لبعض المعرّفات أو التحليلات أو الإشعارات أو الوظائف المرتبطة بالموقع.</w:t>
      </w:r>
    </w:p>
    <w:p w14:paraId="77045C35" w14:textId="77777777">
      <w:pPr>
        <w:pStyle w:val="1"/>
        <w:bidi/>
        <w:jc w:val="right"/>
      </w:pPr>
      <w:r>
        <w:rPr>
          <w:rFonts w:ascii="Arial" w:eastAsia="Arial" w:hAnsi="Arial" w:cs="Arial"/>
          <w:rtl/>
        </w:rPr>
        <w:lastRenderedPageBreak/>
        <w:t>5. تقنيات الأطراف الثالثة</w:t>
      </w:r>
    </w:p>
    <w:p w14:paraId="7D524D1E" w14:textId="77777777">
      <w:pPr>
        <w:bidi/>
        <w:jc w:val="right"/>
      </w:pPr>
      <w:r>
        <w:rPr>
          <w:rFonts w:eastAsia="Arial" w:cs="Arial"/>
          <w:rtl/>
        </w:rPr>
        <w:t>يجوز لـ Al Ayman استخدام مقدمي خدمات من أطراف ثالثة لدعم وظائف مثل المصادقة والاتصالات، ومعالجة المدفوعات لمقدمي الخدمات، والاستضافة والبنية التحتية، والخرائط أو وظائف الموقع، والتحليلات، والأمن ومراقبة الأخطاء، ودعم العملاء.</w:t>
      </w:r>
    </w:p>
    <w:p w14:paraId="59657F71" w14:textId="77777777">
      <w:pPr>
        <w:bidi/>
        <w:jc w:val="right"/>
      </w:pPr>
      <w:r>
        <w:rPr>
          <w:rFonts w:eastAsia="Arial" w:cs="Arial"/>
          <w:rtl/>
        </w:rPr>
        <w:t>قد يقوم بعض هؤلاء المقدمين بوضع ملفات تعريف ارتباط أو الوصول إليها، أو الوصول إلى بيانات حزم تطوير البرمجيات أو معرّفات مماثلة، عندما يكون ذلك ضرورياً لتقديم خدمتهم. وقد يتغير مقدمو الخدمات والتقنيات المستخدمة بمرور الوقت. ولذلك، لا نعتبر قائمة ثابتة بأسماء المورّدين أو الأسماء التقنية لملفات تعريف الارتباط جزءاً من هذه السياسة، إلا إذا كان الإفصاح عن مقدم خدمة معين مطلوباً بموجب القانون أو كان جوهرياً لاختيارات المستخدم.</w:t>
      </w:r>
    </w:p>
    <w:p w14:paraId="25D70285" w14:textId="77777777">
      <w:pPr>
        <w:bidi/>
        <w:jc w:val="right"/>
      </w:pPr>
      <w:r>
        <w:rPr>
          <w:rFonts w:eastAsia="Arial" w:cs="Arial"/>
          <w:rtl/>
        </w:rPr>
        <w:t>عندما تعالج تقنية تابعة لطرف ثالث بيانات شخصية، تتم المعالجة وأي نقل دولي على النحو الموضح في سياسة الخصوصية ووفقاً لمتطلبات حماية البيانات المعمول بها في دولة الإمارات.</w:t>
      </w:r>
    </w:p>
    <w:p w14:paraId="44887472" w14:textId="77777777">
      <w:pPr>
        <w:pStyle w:val="1"/>
        <w:bidi/>
        <w:jc w:val="right"/>
      </w:pPr>
      <w:r>
        <w:rPr>
          <w:rFonts w:ascii="Arial" w:eastAsia="Arial" w:hAnsi="Arial" w:cs="Arial"/>
          <w:rtl/>
        </w:rPr>
        <w:t>6. التحليلات</w:t>
      </w:r>
    </w:p>
    <w:p w14:paraId="41E801DF" w14:textId="77777777">
      <w:pPr>
        <w:bidi/>
        <w:jc w:val="right"/>
      </w:pPr>
      <w:r>
        <w:rPr>
          <w:rFonts w:eastAsia="Arial" w:cs="Arial"/>
          <w:rtl/>
        </w:rPr>
        <w:t>إذا استخدمت Al Ayman تقنيات تحليلية اختيارية تتطلب الموافقة، فلن يتم تفعيلها إلا بعد الحصول على الموافقة المطلوبة. وقد تُستخدم التحليلات لفهم الزيارات واستخدام الخصائص والتنقل وأداء التطبيق والأخطاء التقنية.</w:t>
      </w:r>
    </w:p>
    <w:p w14:paraId="7C9C9449" w14:textId="77777777">
      <w:pPr>
        <w:bidi/>
        <w:jc w:val="right"/>
      </w:pPr>
      <w:r>
        <w:rPr>
          <w:rFonts w:eastAsia="Arial" w:cs="Arial"/>
          <w:rtl/>
        </w:rPr>
        <w:t>حيثما يكون ذلك ممكناً بصورة معقولة، يجوز لـ Al Ayman استخدام أساليب تحليل مجمعة أو منزوعة الهوية أو تراعي الخصوصية لتقليل كمية المعلومات القابلة لتحديد الهوية التي تتم معالجتها.</w:t>
      </w:r>
    </w:p>
    <w:p w14:paraId="1DF1B147" w14:textId="77777777">
      <w:pPr>
        <w:pStyle w:val="1"/>
        <w:bidi/>
        <w:jc w:val="right"/>
      </w:pPr>
      <w:r>
        <w:rPr>
          <w:rFonts w:ascii="Arial" w:eastAsia="Arial" w:hAnsi="Arial" w:cs="Arial"/>
          <w:rtl/>
        </w:rPr>
        <w:t>7. التسويق والإعلان</w:t>
      </w:r>
    </w:p>
    <w:p w14:paraId="5C2AB4E7" w14:textId="77777777">
      <w:pPr>
        <w:bidi/>
        <w:jc w:val="right"/>
      </w:pPr>
      <w:r>
        <w:rPr>
          <w:rFonts w:eastAsia="Arial" w:cs="Arial"/>
          <w:rtl/>
        </w:rPr>
        <w:t>لا تحتاج Al Ayman إلى استخدام تقنيات الإعلان أو إعادة الاستهداف لمجرد تشغيل السوق الأساسي. وإذا تم إدخال تقنيات تسويق أو إعلان تتطلب الموافقة، فستخضع لضوابط الموافقة ذات الصلة قبل تفعيلها.</w:t>
      </w:r>
    </w:p>
    <w:p w14:paraId="6D6AE007" w14:textId="77777777">
      <w:pPr>
        <w:bidi/>
        <w:jc w:val="right"/>
      </w:pPr>
      <w:r>
        <w:rPr>
          <w:rFonts w:eastAsia="Arial" w:cs="Arial"/>
          <w:rtl/>
        </w:rPr>
        <w:t>تخضع الاتصالات التسويقية، مثل البريد الإلكتروني الترويجي أو الرسائل النصية القصيرة (SMS)، لسياسة الخصوصية وتفضيلات الاتصالات المعمول بها؛ ولا تصبح مصرحاً بها تلقائياً لمجرد قبول المستخدم لملفات تعريف الارتباط.</w:t>
      </w:r>
    </w:p>
    <w:p w14:paraId="38214BC7" w14:textId="77777777">
      <w:pPr>
        <w:pStyle w:val="1"/>
        <w:bidi/>
        <w:jc w:val="right"/>
      </w:pPr>
      <w:r>
        <w:rPr>
          <w:rFonts w:ascii="Arial" w:eastAsia="Arial" w:hAnsi="Arial" w:cs="Arial"/>
          <w:rtl/>
        </w:rPr>
        <w:t>8. الاحتفاظ</w:t>
      </w:r>
    </w:p>
    <w:p w14:paraId="7064E609" w14:textId="77777777">
      <w:pPr>
        <w:bidi/>
        <w:jc w:val="right"/>
      </w:pPr>
      <w:r>
        <w:rPr>
          <w:rFonts w:eastAsia="Arial" w:cs="Arial"/>
          <w:rtl/>
        </w:rPr>
        <w:t>يتم الاحتفاظ بملفات تعريف الارتباط والتقنيات المماثلة لمدد تتناسب مع الغرض منها. وينتهي بعضها عند انتهاء جلسة المتصفح أو التطبيق، بينما قد يبقى بعضها الآخر لمدة محددة لتذكر التفضيلات أو المحافظة على الأمن أو قياس استخدام المنصة.</w:t>
      </w:r>
    </w:p>
    <w:p w14:paraId="69D9D1D1" w14:textId="77777777">
      <w:pPr>
        <w:bidi/>
        <w:jc w:val="right"/>
      </w:pPr>
      <w:r>
        <w:rPr>
          <w:rFonts w:eastAsia="Arial" w:cs="Arial"/>
          <w:rtl/>
        </w:rPr>
        <w:t>يجوز الاحتفاظ بالبيانات الناتجة عن هذه التقنيات بصورة منفصلة عن ملف تعريف الارتباط أو المعرّف نفسه عندما يكون ذلك ضرورياً بصورة معقولة لأغراض الأمن أو التحليلات أو الأغراض القانونية أو التشغيلية. ويخضع الاحتفاظ بالبيانات الشخصية لسياسة الخصوصية والقانون المعمول به.</w:t>
      </w:r>
    </w:p>
    <w:p w14:paraId="64532401" w14:textId="77777777">
      <w:pPr>
        <w:bidi/>
        <w:jc w:val="right"/>
      </w:pPr>
      <w:r>
        <w:rPr>
          <w:rFonts w:eastAsia="Arial" w:cs="Arial"/>
          <w:rtl/>
        </w:rPr>
        <w:t>عندما توفر واجهة الموافقة معلومات عن تقنية أو فئة معينة، ينبغي أن تعكس المدة المبينة فيها الإعداد المستخدم فعلياً.</w:t>
      </w:r>
    </w:p>
    <w:p w14:paraId="64991579" w14:textId="77777777">
      <w:pPr>
        <w:pStyle w:val="1"/>
        <w:bidi/>
        <w:jc w:val="right"/>
      </w:pPr>
      <w:r>
        <w:rPr>
          <w:rFonts w:ascii="Arial" w:eastAsia="Arial" w:hAnsi="Arial" w:cs="Arial"/>
          <w:rtl/>
        </w:rPr>
        <w:t>9. المعالجة الدولية</w:t>
      </w:r>
    </w:p>
    <w:p w14:paraId="5FD9BE5D" w14:textId="77777777">
      <w:pPr>
        <w:bidi/>
        <w:jc w:val="right"/>
      </w:pPr>
      <w:r>
        <w:rPr>
          <w:rFonts w:eastAsia="Arial" w:cs="Arial"/>
          <w:rtl/>
        </w:rPr>
        <w:t>قد يقوم بعض مقدمي التقنيات بمعالجة البيانات خارج دولة الإمارات العربية المتحدة. وعندما ينطوي ذلك على نقل بيانات شخصية، ستستخدم Al Ayman آلية نقل وضمانات يسمح بها قانون حماية البيانات المعمول به في دولة الإمارات، على النحو الموضح في سياسة الخصوصية.</w:t>
      </w:r>
    </w:p>
    <w:p w14:paraId="3F68D5D8" w14:textId="77777777">
      <w:pPr>
        <w:bidi/>
        <w:jc w:val="right"/>
      </w:pPr>
      <w:r>
        <w:rPr>
          <w:rFonts w:eastAsia="Arial" w:cs="Arial"/>
          <w:rtl/>
        </w:rPr>
        <w:t>لا تقر Al Ayman بأن آلية نقل مستخدمة بموجب قانون الخصوصية في دولة أخرى تستوفي تلقائياً متطلبات النقل في دولة الإمارات.</w:t>
      </w:r>
    </w:p>
    <w:p w14:paraId="33E09410" w14:textId="77777777">
      <w:pPr>
        <w:pStyle w:val="1"/>
        <w:bidi/>
        <w:jc w:val="right"/>
      </w:pPr>
      <w:r>
        <w:rPr>
          <w:rFonts w:ascii="Arial" w:eastAsia="Arial" w:hAnsi="Arial" w:cs="Arial"/>
          <w:rtl/>
        </w:rPr>
        <w:t>10. التغييرات على هذه السياسة</w:t>
      </w:r>
    </w:p>
    <w:p w14:paraId="499D066C" w14:textId="77777777">
      <w:pPr>
        <w:bidi/>
        <w:jc w:val="right"/>
      </w:pPr>
      <w:r>
        <w:rPr>
          <w:rFonts w:eastAsia="Arial" w:cs="Arial"/>
          <w:rtl/>
        </w:rPr>
        <w:t>يجوز لنا تحديث هذه السياسة عندما تتغير المنصة أو التقنيات أو مقدمو الخدمات أو المتطلبات القانونية أو ممارساتنا. وستتاح النسخة الحالية وتاريخ السريان من خلال المنصة.</w:t>
      </w:r>
    </w:p>
    <w:p w14:paraId="280C4A8E" w14:textId="77777777">
      <w:pPr>
        <w:bidi/>
        <w:jc w:val="right"/>
        <w:rPr>
          <w:rFonts w:eastAsia="Arial" w:cs="Arial"/>
        </w:rPr>
      </w:pPr>
      <w:r>
        <w:rPr>
          <w:rFonts w:eastAsia="Arial" w:cs="Arial"/>
          <w:rtl/>
        </w:rPr>
        <w:t>إذا أدى تغيير إلى إدخال نشاط معالجة جديد غير أساسي يتطلب الموافقة، فسنحصل على الموافقة المطلوبة قبل تفعيل ذلك النشاط للمستخدم.</w:t>
      </w:r>
    </w:p>
    <w:p w14:paraId="5F68BCB8" w14:textId="7D3F0262">
      <w:pPr>
        <w:pStyle w:val="1"/>
        <w:bidi/>
        <w:jc w:val="right"/>
      </w:pPr>
      <w:r>
        <w:rPr>
          <w:rFonts w:ascii="Arial" w:eastAsia="Arial" w:hAnsi="Arial" w:cs="Arial"/>
          <w:rtl/>
        </w:rPr>
        <w:t>1</w:t>
      </w:r>
      <w:r>
        <w:rPr>
          <w:rFonts w:ascii="Arial" w:eastAsia="Arial" w:hAnsi="Arial" w:cs="Arial"/>
        </w:rPr>
        <w:t>1</w:t>
      </w:r>
      <w:r>
        <w:rPr>
          <w:rFonts w:ascii="Arial" w:eastAsia="Arial" w:hAnsi="Arial" w:cs="Arial"/>
          <w:rtl/>
        </w:rPr>
        <w:t>. أحكام عامة</w:t>
      </w:r>
    </w:p>
    <w:p w14:paraId="5D1971FB" w14:textId="7ECEECD3">
      <w:pPr>
        <w:bidi/>
        <w:jc w:val="right"/>
        <w:rPr>
          <w:sz w:val="22"/>
        </w:rPr>
      </w:pPr>
      <w:proofErr w:type="spellStart"/>
      <w:r>
        <w:rPr>
          <w:sz w:val="22"/>
        </w:rPr>
        <w:t>تم</w:t>
      </w:r>
      <w:proofErr w:type="spellEnd"/>
      <w:r>
        <w:rPr>
          <w:sz w:val="22"/>
        </w:rPr>
        <w:t xml:space="preserve"> </w:t>
      </w:r>
      <w:proofErr w:type="spellStart"/>
      <w:r>
        <w:rPr>
          <w:sz w:val="22"/>
        </w:rPr>
        <w:t>إعداد</w:t>
      </w:r>
      <w:proofErr w:type="spellEnd"/>
      <w:r>
        <w:rPr>
          <w:sz w:val="22"/>
        </w:rPr>
        <w:t xml:space="preserve"> </w:t>
      </w:r>
      <w:proofErr w:type="spellStart"/>
      <w:r>
        <w:rPr>
          <w:sz w:val="22"/>
        </w:rPr>
        <w:t>هذه</w:t>
      </w:r>
      <w:proofErr w:type="spellEnd"/>
      <w:r>
        <w:rPr>
          <w:sz w:val="22"/>
        </w:rPr>
        <w:t xml:space="preserve"> </w:t>
      </w:r>
      <w:proofErr w:type="spellStart"/>
      <w:r>
        <w:rPr>
          <w:sz w:val="22"/>
        </w:rPr>
        <w:t>السياسة</w:t>
      </w:r>
      <w:proofErr w:type="spellEnd"/>
      <w:r>
        <w:rPr>
          <w:sz w:val="22"/>
        </w:rPr>
        <w:t xml:space="preserve"> </w:t>
      </w:r>
      <w:proofErr w:type="spellStart"/>
      <w:r>
        <w:rPr>
          <w:sz w:val="22"/>
        </w:rPr>
        <w:t>باللغة</w:t>
      </w:r>
      <w:proofErr w:type="spellEnd"/>
      <w:r>
        <w:rPr>
          <w:sz w:val="22"/>
        </w:rPr>
        <w:t xml:space="preserve"> </w:t>
      </w:r>
      <w:proofErr w:type="spellStart"/>
      <w:r>
        <w:rPr>
          <w:sz w:val="22"/>
        </w:rPr>
        <w:t>الإنجليزية</w:t>
      </w:r>
      <w:proofErr w:type="spellEnd"/>
      <w:r>
        <w:rPr>
          <w:sz w:val="22"/>
        </w:rPr>
        <w:t xml:space="preserve">، </w:t>
      </w:r>
      <w:proofErr w:type="spellStart"/>
      <w:r>
        <w:rPr>
          <w:sz w:val="22"/>
        </w:rPr>
        <w:t>ويجوز</w:t>
      </w:r>
      <w:proofErr w:type="spellEnd"/>
      <w:r>
        <w:rPr>
          <w:sz w:val="22"/>
        </w:rPr>
        <w:t xml:space="preserve"> </w:t>
      </w:r>
      <w:proofErr w:type="spellStart"/>
      <w:r>
        <w:rPr>
          <w:sz w:val="22"/>
        </w:rPr>
        <w:t>ترجمتها</w:t>
      </w:r>
      <w:proofErr w:type="spellEnd"/>
      <w:r>
        <w:rPr>
          <w:sz w:val="22"/>
        </w:rPr>
        <w:t xml:space="preserve"> </w:t>
      </w:r>
      <w:proofErr w:type="spellStart"/>
      <w:r>
        <w:rPr>
          <w:sz w:val="22"/>
        </w:rPr>
        <w:t>إلى</w:t>
      </w:r>
      <w:proofErr w:type="spellEnd"/>
      <w:r>
        <w:rPr>
          <w:sz w:val="22"/>
        </w:rPr>
        <w:t xml:space="preserve"> </w:t>
      </w:r>
      <w:proofErr w:type="spellStart"/>
      <w:r>
        <w:rPr>
          <w:sz w:val="22"/>
        </w:rPr>
        <w:t>لغات</w:t>
      </w:r>
      <w:proofErr w:type="spellEnd"/>
      <w:r>
        <w:rPr>
          <w:sz w:val="22"/>
        </w:rPr>
        <w:t xml:space="preserve"> </w:t>
      </w:r>
      <w:proofErr w:type="spellStart"/>
      <w:r>
        <w:rPr>
          <w:sz w:val="22"/>
        </w:rPr>
        <w:t>أخرى</w:t>
      </w:r>
      <w:proofErr w:type="spellEnd"/>
      <w:r>
        <w:rPr>
          <w:sz w:val="22"/>
        </w:rPr>
        <w:t xml:space="preserve"> </w:t>
      </w:r>
      <w:proofErr w:type="spellStart"/>
      <w:r>
        <w:rPr>
          <w:sz w:val="22"/>
        </w:rPr>
        <w:t>لتسهيل</w:t>
      </w:r>
      <w:proofErr w:type="spellEnd"/>
      <w:r>
        <w:rPr>
          <w:sz w:val="22"/>
        </w:rPr>
        <w:t xml:space="preserve"> </w:t>
      </w:r>
      <w:proofErr w:type="spellStart"/>
      <w:r>
        <w:rPr>
          <w:sz w:val="22"/>
        </w:rPr>
        <w:t>الاطلاع</w:t>
      </w:r>
      <w:proofErr w:type="spellEnd"/>
      <w:r>
        <w:rPr>
          <w:sz w:val="22"/>
        </w:rPr>
        <w:t xml:space="preserve"> </w:t>
      </w:r>
      <w:proofErr w:type="spellStart"/>
      <w:r>
        <w:rPr>
          <w:sz w:val="22"/>
        </w:rPr>
        <w:t>عليها</w:t>
      </w:r>
      <w:proofErr w:type="spellEnd"/>
      <w:r>
        <w:rPr>
          <w:sz w:val="22"/>
        </w:rPr>
        <w:t xml:space="preserve">. </w:t>
      </w:r>
      <w:proofErr w:type="spellStart"/>
      <w:r>
        <w:rPr>
          <w:sz w:val="22"/>
        </w:rPr>
        <w:t>وفي</w:t>
      </w:r>
      <w:proofErr w:type="spellEnd"/>
      <w:r>
        <w:rPr>
          <w:sz w:val="22"/>
        </w:rPr>
        <w:t xml:space="preserve"> </w:t>
      </w:r>
      <w:proofErr w:type="spellStart"/>
      <w:r>
        <w:rPr>
          <w:sz w:val="22"/>
        </w:rPr>
        <w:t>حدود</w:t>
      </w:r>
      <w:proofErr w:type="spellEnd"/>
      <w:r>
        <w:rPr>
          <w:sz w:val="22"/>
        </w:rPr>
        <w:t xml:space="preserve"> </w:t>
      </w:r>
      <w:proofErr w:type="spellStart"/>
      <w:r>
        <w:rPr>
          <w:sz w:val="22"/>
        </w:rPr>
        <w:t>ما</w:t>
      </w:r>
      <w:proofErr w:type="spellEnd"/>
      <w:r>
        <w:rPr>
          <w:sz w:val="22"/>
        </w:rPr>
        <w:t xml:space="preserve"> </w:t>
      </w:r>
      <w:proofErr w:type="spellStart"/>
      <w:r>
        <w:rPr>
          <w:sz w:val="22"/>
        </w:rPr>
        <w:t>يسمح</w:t>
      </w:r>
      <w:proofErr w:type="spellEnd"/>
      <w:r>
        <w:rPr>
          <w:sz w:val="22"/>
        </w:rPr>
        <w:t xml:space="preserve"> </w:t>
      </w:r>
      <w:proofErr w:type="spellStart"/>
      <w:r>
        <w:rPr>
          <w:sz w:val="22"/>
        </w:rPr>
        <w:t>به</w:t>
      </w:r>
      <w:proofErr w:type="spellEnd"/>
      <w:r>
        <w:rPr>
          <w:sz w:val="22"/>
        </w:rPr>
        <w:t xml:space="preserve"> </w:t>
      </w:r>
      <w:proofErr w:type="spellStart"/>
      <w:r>
        <w:rPr>
          <w:sz w:val="22"/>
        </w:rPr>
        <w:t>القانون</w:t>
      </w:r>
      <w:proofErr w:type="spellEnd"/>
      <w:r>
        <w:rPr>
          <w:sz w:val="22"/>
        </w:rPr>
        <w:t xml:space="preserve"> </w:t>
      </w:r>
      <w:proofErr w:type="spellStart"/>
      <w:r>
        <w:rPr>
          <w:sz w:val="22"/>
        </w:rPr>
        <w:t>المعمول</w:t>
      </w:r>
      <w:proofErr w:type="spellEnd"/>
      <w:r>
        <w:rPr>
          <w:sz w:val="22"/>
        </w:rPr>
        <w:t xml:space="preserve"> </w:t>
      </w:r>
      <w:proofErr w:type="spellStart"/>
      <w:r>
        <w:rPr>
          <w:sz w:val="22"/>
        </w:rPr>
        <w:t>به</w:t>
      </w:r>
      <w:proofErr w:type="spellEnd"/>
      <w:r>
        <w:rPr>
          <w:sz w:val="22"/>
        </w:rPr>
        <w:t xml:space="preserve">، </w:t>
      </w:r>
      <w:proofErr w:type="spellStart"/>
      <w:r>
        <w:rPr>
          <w:sz w:val="22"/>
        </w:rPr>
        <w:t>ستُستخدم</w:t>
      </w:r>
      <w:proofErr w:type="spellEnd"/>
      <w:r>
        <w:rPr>
          <w:sz w:val="22"/>
        </w:rPr>
        <w:t xml:space="preserve"> </w:t>
      </w:r>
      <w:proofErr w:type="spellStart"/>
      <w:r>
        <w:rPr>
          <w:sz w:val="22"/>
        </w:rPr>
        <w:t>النسخة</w:t>
      </w:r>
      <w:proofErr w:type="spellEnd"/>
      <w:r>
        <w:rPr>
          <w:sz w:val="22"/>
        </w:rPr>
        <w:t xml:space="preserve"> </w:t>
      </w:r>
      <w:proofErr w:type="spellStart"/>
      <w:r>
        <w:rPr>
          <w:sz w:val="22"/>
        </w:rPr>
        <w:t>الإنجليزية</w:t>
      </w:r>
      <w:proofErr w:type="spellEnd"/>
      <w:r>
        <w:rPr>
          <w:sz w:val="22"/>
        </w:rPr>
        <w:t xml:space="preserve"> </w:t>
      </w:r>
      <w:proofErr w:type="spellStart"/>
      <w:r>
        <w:rPr>
          <w:sz w:val="22"/>
        </w:rPr>
        <w:t>لتفسير</w:t>
      </w:r>
      <w:proofErr w:type="spellEnd"/>
      <w:r>
        <w:rPr>
          <w:sz w:val="22"/>
        </w:rPr>
        <w:t xml:space="preserve"> </w:t>
      </w:r>
      <w:proofErr w:type="spellStart"/>
      <w:r>
        <w:rPr>
          <w:sz w:val="22"/>
        </w:rPr>
        <w:t>أي</w:t>
      </w:r>
      <w:proofErr w:type="spellEnd"/>
      <w:r>
        <w:rPr>
          <w:sz w:val="22"/>
        </w:rPr>
        <w:t xml:space="preserve"> </w:t>
      </w:r>
      <w:proofErr w:type="spellStart"/>
      <w:r>
        <w:rPr>
          <w:sz w:val="22"/>
        </w:rPr>
        <w:t>اختلافات</w:t>
      </w:r>
      <w:proofErr w:type="spellEnd"/>
      <w:r>
        <w:rPr>
          <w:sz w:val="22"/>
        </w:rPr>
        <w:t xml:space="preserve"> </w:t>
      </w:r>
      <w:proofErr w:type="spellStart"/>
      <w:r>
        <w:rPr>
          <w:sz w:val="22"/>
        </w:rPr>
        <w:t>بين</w:t>
      </w:r>
      <w:proofErr w:type="spellEnd"/>
      <w:r>
        <w:rPr>
          <w:sz w:val="22"/>
        </w:rPr>
        <w:t xml:space="preserve"> </w:t>
      </w:r>
      <w:proofErr w:type="spellStart"/>
      <w:r>
        <w:rPr>
          <w:sz w:val="22"/>
        </w:rPr>
        <w:t>الترجمات</w:t>
      </w:r>
      <w:proofErr w:type="spellEnd"/>
      <w:r>
        <w:rPr>
          <w:sz w:val="22"/>
        </w:rPr>
        <w:t xml:space="preserve">. </w:t>
      </w:r>
      <w:proofErr w:type="spellStart"/>
      <w:r>
        <w:rPr>
          <w:sz w:val="22"/>
        </w:rPr>
        <w:t>ولا</w:t>
      </w:r>
      <w:proofErr w:type="spellEnd"/>
      <w:r>
        <w:rPr>
          <w:sz w:val="22"/>
        </w:rPr>
        <w:t xml:space="preserve"> </w:t>
      </w:r>
      <w:proofErr w:type="spellStart"/>
      <w:r>
        <w:rPr>
          <w:sz w:val="22"/>
        </w:rPr>
        <w:t>يلغي</w:t>
      </w:r>
      <w:proofErr w:type="spellEnd"/>
      <w:r>
        <w:rPr>
          <w:sz w:val="22"/>
        </w:rPr>
        <w:t xml:space="preserve"> </w:t>
      </w:r>
      <w:proofErr w:type="spellStart"/>
      <w:r>
        <w:rPr>
          <w:sz w:val="22"/>
        </w:rPr>
        <w:t>ذلك</w:t>
      </w:r>
      <w:proofErr w:type="spellEnd"/>
      <w:r>
        <w:rPr>
          <w:sz w:val="22"/>
        </w:rPr>
        <w:t xml:space="preserve"> </w:t>
      </w:r>
      <w:proofErr w:type="spellStart"/>
      <w:r>
        <w:rPr>
          <w:sz w:val="22"/>
        </w:rPr>
        <w:t>أي</w:t>
      </w:r>
      <w:proofErr w:type="spellEnd"/>
      <w:r>
        <w:rPr>
          <w:sz w:val="22"/>
        </w:rPr>
        <w:t xml:space="preserve"> </w:t>
      </w:r>
      <w:proofErr w:type="spellStart"/>
      <w:r>
        <w:rPr>
          <w:sz w:val="22"/>
        </w:rPr>
        <w:t>شرط</w:t>
      </w:r>
      <w:proofErr w:type="spellEnd"/>
      <w:r>
        <w:rPr>
          <w:sz w:val="22"/>
        </w:rPr>
        <w:t xml:space="preserve"> </w:t>
      </w:r>
      <w:proofErr w:type="spellStart"/>
      <w:r>
        <w:rPr>
          <w:sz w:val="22"/>
        </w:rPr>
        <w:t>إلزامي</w:t>
      </w:r>
      <w:proofErr w:type="spellEnd"/>
      <w:r>
        <w:rPr>
          <w:sz w:val="22"/>
        </w:rPr>
        <w:t xml:space="preserve"> </w:t>
      </w:r>
      <w:proofErr w:type="spellStart"/>
      <w:r>
        <w:rPr>
          <w:sz w:val="22"/>
        </w:rPr>
        <w:t>يتعلق</w:t>
      </w:r>
      <w:proofErr w:type="spellEnd"/>
      <w:r>
        <w:rPr>
          <w:sz w:val="22"/>
        </w:rPr>
        <w:t xml:space="preserve"> </w:t>
      </w:r>
      <w:proofErr w:type="spellStart"/>
      <w:r>
        <w:rPr>
          <w:sz w:val="22"/>
        </w:rPr>
        <w:t>باللغة</w:t>
      </w:r>
      <w:proofErr w:type="spellEnd"/>
      <w:r>
        <w:rPr>
          <w:sz w:val="22"/>
        </w:rPr>
        <w:t xml:space="preserve"> </w:t>
      </w:r>
      <w:proofErr w:type="spellStart"/>
      <w:r>
        <w:rPr>
          <w:sz w:val="22"/>
        </w:rPr>
        <w:t>العربية</w:t>
      </w:r>
      <w:proofErr w:type="spellEnd"/>
      <w:r>
        <w:rPr>
          <w:sz w:val="22"/>
        </w:rPr>
        <w:t xml:space="preserve"> </w:t>
      </w:r>
      <w:proofErr w:type="spellStart"/>
      <w:r>
        <w:rPr>
          <w:sz w:val="22"/>
        </w:rPr>
        <w:t>أو</w:t>
      </w:r>
      <w:proofErr w:type="spellEnd"/>
      <w:r>
        <w:rPr>
          <w:sz w:val="22"/>
        </w:rPr>
        <w:t xml:space="preserve"> </w:t>
      </w:r>
      <w:proofErr w:type="spellStart"/>
      <w:r>
        <w:rPr>
          <w:sz w:val="22"/>
        </w:rPr>
        <w:t>متطلبات</w:t>
      </w:r>
      <w:proofErr w:type="spellEnd"/>
      <w:r>
        <w:rPr>
          <w:sz w:val="22"/>
        </w:rPr>
        <w:t xml:space="preserve"> </w:t>
      </w:r>
      <w:proofErr w:type="spellStart"/>
      <w:r>
        <w:rPr>
          <w:sz w:val="22"/>
        </w:rPr>
        <w:t>أي</w:t>
      </w:r>
      <w:proofErr w:type="spellEnd"/>
      <w:r>
        <w:rPr>
          <w:sz w:val="22"/>
        </w:rPr>
        <w:t xml:space="preserve"> </w:t>
      </w:r>
      <w:proofErr w:type="spellStart"/>
      <w:r>
        <w:rPr>
          <w:sz w:val="22"/>
        </w:rPr>
        <w:t>محكمة</w:t>
      </w:r>
      <w:proofErr w:type="spellEnd"/>
      <w:r>
        <w:rPr>
          <w:sz w:val="22"/>
        </w:rPr>
        <w:t xml:space="preserve"> </w:t>
      </w:r>
      <w:proofErr w:type="spellStart"/>
      <w:r>
        <w:rPr>
          <w:sz w:val="22"/>
        </w:rPr>
        <w:t>أو</w:t>
      </w:r>
      <w:proofErr w:type="spellEnd"/>
      <w:r>
        <w:rPr>
          <w:sz w:val="22"/>
        </w:rPr>
        <w:t xml:space="preserve"> </w:t>
      </w:r>
      <w:proofErr w:type="spellStart"/>
      <w:r>
        <w:rPr>
          <w:sz w:val="22"/>
        </w:rPr>
        <w:t>سلطة</w:t>
      </w:r>
      <w:proofErr w:type="spellEnd"/>
      <w:r>
        <w:rPr>
          <w:sz w:val="22"/>
        </w:rPr>
        <w:t xml:space="preserve"> </w:t>
      </w:r>
      <w:proofErr w:type="spellStart"/>
      <w:r>
        <w:rPr>
          <w:sz w:val="22"/>
        </w:rPr>
        <w:t>مختصة</w:t>
      </w:r>
      <w:proofErr w:type="spellEnd"/>
      <w:r>
        <w:rPr>
          <w:sz w:val="22"/>
        </w:rPr>
        <w:t xml:space="preserve"> </w:t>
      </w:r>
      <w:proofErr w:type="spellStart"/>
      <w:r>
        <w:rPr>
          <w:sz w:val="22"/>
        </w:rPr>
        <w:t>في</w:t>
      </w:r>
      <w:proofErr w:type="spellEnd"/>
      <w:r>
        <w:rPr>
          <w:sz w:val="22"/>
        </w:rPr>
        <w:t xml:space="preserve"> </w:t>
      </w:r>
      <w:proofErr w:type="spellStart"/>
      <w:r>
        <w:rPr>
          <w:sz w:val="22"/>
        </w:rPr>
        <w:t>دولة</w:t>
      </w:r>
      <w:proofErr w:type="spellEnd"/>
      <w:r>
        <w:rPr>
          <w:sz w:val="22"/>
        </w:rPr>
        <w:t xml:space="preserve"> </w:t>
      </w:r>
      <w:proofErr w:type="spellStart"/>
      <w:r>
        <w:rPr>
          <w:sz w:val="22"/>
        </w:rPr>
        <w:t>الإمارات</w:t>
      </w:r>
      <w:proofErr w:type="spellEnd"/>
      <w:r>
        <w:rPr>
          <w:sz w:val="22"/>
        </w:rPr>
        <w:t xml:space="preserve"> </w:t>
      </w:r>
      <w:proofErr w:type="spellStart"/>
      <w:r>
        <w:rPr>
          <w:sz w:val="22"/>
        </w:rPr>
        <w:t>العربية</w:t>
      </w:r>
      <w:proofErr w:type="spellEnd"/>
      <w:r>
        <w:rPr>
          <w:sz w:val="22"/>
        </w:rPr>
        <w:t xml:space="preserve"> </w:t>
      </w:r>
      <w:proofErr w:type="spellStart"/>
      <w:r>
        <w:rPr>
          <w:sz w:val="22"/>
        </w:rPr>
        <w:t>المتحدة</w:t>
      </w:r>
      <w:proofErr w:type="spellEnd"/>
      <w:r>
        <w:rPr>
          <w:sz w:val="22"/>
        </w:rPr>
        <w:t>.</w:t>
      </w:r>
    </w:p>
    <w:p w14:paraId="63CDE203" w14:textId="77777777">
      <w:pPr>
        <w:bidi/>
        <w:jc w:val="right"/>
      </w:pPr>
    </w:p>
    <w:p w14:paraId="7A9503F2" w14:textId="6A39CF45">
      <w:pPr>
        <w:pStyle w:val="1"/>
        <w:bidi/>
        <w:jc w:val="right"/>
      </w:pPr>
      <w:r>
        <w:rPr>
          <w:rFonts w:ascii="Arial" w:eastAsia="Arial" w:hAnsi="Arial" w:cs="Arial"/>
        </w:rPr>
        <w:t>12</w:t>
      </w:r>
      <w:r>
        <w:rPr>
          <w:rFonts w:ascii="Arial" w:eastAsia="Arial" w:hAnsi="Arial" w:cs="Arial"/>
          <w:rtl/>
        </w:rPr>
        <w:t>. التواصل</w:t>
      </w:r>
    </w:p>
    <w:p w14:paraId="41C55D5D" w14:textId="77777777">
      <w:pPr>
        <w:bidi/>
        <w:jc w:val="right"/>
      </w:pPr>
      <w:r>
        <w:rPr>
          <w:rFonts w:eastAsia="Arial" w:cs="Arial"/>
          <w:rtl/>
        </w:rPr>
        <w:t>يمكن إرسال الأسئلة المتعلقة بملفات تعريف الارتباط أو التقنيات المماثلة أو اختيارات الخصوصية إلى:</w:t>
      </w:r>
    </w:p>
    <w:p w14:paraId="4B9B9BC4" w14:textId="77777777">
      <w:pPr>
        <w:bidi/>
        <w:jc w:val="right"/>
      </w:pPr>
      <w:r>
        <w:rPr>
          <w:rFonts w:eastAsia="Arial" w:cs="Arial"/>
          <w:rtl/>
        </w:rPr>
        <w:t>Al Ayman Services Gateway L.L.C-FZ</w:t>
      </w:r>
    </w:p>
    <w:p w14:paraId="2BB38605" w14:textId="77777777">
      <w:pPr>
        <w:bidi/>
        <w:jc w:val="right"/>
      </w:pPr>
      <w:r>
        <w:rPr>
          <w:rFonts w:eastAsia="Arial" w:cs="Arial"/>
          <w:rtl/>
        </w:rPr>
        <w:t>Meydan Grandstand, 6th Floor, Meydan Road, Nad Al Sheba, Dubai, U.A.E.</w:t>
      </w:r>
    </w:p>
    <w:p w14:paraId="21294329" w14:textId="77777777">
      <w:pPr>
        <w:bidi/>
        <w:jc w:val="right"/>
      </w:pPr>
      <w:r>
        <w:rPr>
          <w:rFonts w:eastAsia="Arial" w:cs="Arial"/>
          <w:rtl/>
        </w:rPr>
        <w:t>الموقع الإلكتروني: alayman.ae</w:t>
      </w:r>
    </w:p>
    <w:p w14:paraId="47025176" w14:textId="0E186BAF">
      <w:pPr>
        <w:bidi/>
        <w:jc w:val="right"/>
      </w:pPr>
      <w:r>
        <w:rPr>
          <w:rFonts w:eastAsia="Arial" w:cs="Arial"/>
          <w:rtl/>
        </w:rPr>
        <w:t>الدعم</w:t>
      </w:r>
      <w:r>
        <w:rPr>
          <w:rFonts w:eastAsia="Arial" w:cs="Arial"/>
          <w:rtl/>
        </w:rPr>
        <w:t xml:space="preserve">: </w:t>
      </w:r>
      <w:r>
        <w:rPr>
          <w:rFonts w:eastAsia="Arial" w:cs="Arial"/>
          <w:rtl/>
        </w:rPr>
        <w:t>support</w:t>
      </w:r>
      <w:r>
        <w:rPr>
          <w:rFonts w:eastAsia="Arial" w:cs="Arial"/>
          <w:rtl/>
        </w:rPr>
        <w:t>@alayman.ae</w:t>
      </w:r>
    </w:p>
    <w:p w14:paraId="3EFC0657" w14:textId="4A2E4E5E">
      <w:pPr>
        <w:bidi/>
        <w:jc w:val="right"/>
      </w:pPr>
    </w:p>
    <w:sectPr>
      <w:headerReference w:type="default" r:id="rId8"/>
      <w:footerReference w:type="default" r:id="rId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B1ACB" w14:textId="77777777">
      <w:pPr>
        <w:spacing w:after="0" w:line="240" w:lineRule="auto"/>
      </w:pPr>
      <w:r>
        <w:separator/>
      </w:r>
    </w:p>
  </w:endnote>
  <w:endnote w:type="continuationSeparator" w:id="0">
    <w:p w14:paraId="0C709B7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D4CD1" w14:textId="518EAC44">
    <w:pPr>
      <w:pStyle w:val="a7"/>
      <w:bidi/>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97D40" w14:textId="77777777">
      <w:pPr>
        <w:spacing w:after="0" w:line="240" w:lineRule="auto"/>
      </w:pPr>
      <w:r>
        <w:separator/>
      </w:r>
    </w:p>
  </w:footnote>
  <w:footnote w:type="continuationSeparator" w:id="0">
    <w:p w14:paraId="2CF6158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8015D" w14:textId="77777777">
    <w:pPr>
      <w:pStyle w:val="a5"/>
      <w:jc w:val="right"/>
    </w:pPr>
    <w:r>
      <w:rPr>
        <w:color w:val="6E6E6E"/>
        <w:sz w:val="16"/>
      </w:rPr>
      <w:t>AL AYMAN SERVICES GATEWAY L.L.C-FZ</w:t>
    </w:r>
  </w:p>
  <w:p w14:paraId="248160A5" w14:textId="69739F31">
    <w:pPr>
      <w:pStyle w:val="a5"/>
      <w:bidi/>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531338441">
    <w:abstractNumId w:val="8"/>
  </w:num>
  <w:num w:numId="2" w16cid:durableId="1950425679">
    <w:abstractNumId w:val="6"/>
  </w:num>
  <w:num w:numId="3" w16cid:durableId="1218855285">
    <w:abstractNumId w:val="5"/>
  </w:num>
  <w:num w:numId="4" w16cid:durableId="344601475">
    <w:abstractNumId w:val="4"/>
  </w:num>
  <w:num w:numId="5" w16cid:durableId="1617827260">
    <w:abstractNumId w:val="7"/>
  </w:num>
  <w:num w:numId="6" w16cid:durableId="606935984">
    <w:abstractNumId w:val="3"/>
  </w:num>
  <w:num w:numId="7" w16cid:durableId="1390835303">
    <w:abstractNumId w:val="2"/>
  </w:num>
  <w:num w:numId="8" w16cid:durableId="305284334">
    <w:abstractNumId w:val="1"/>
  </w:num>
  <w:num w:numId="9" w16cid:durableId="560949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7ECC33"/>
  <w14:defaultImageDpi w14:val="300"/>
  <w15:docId w15:val="{8772410D-BF5D-1F48-8270-BC1B00340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after="100" w:line="259" w:lineRule="auto"/>
    </w:pPr>
    <w:rPr>
      <w:rFonts w:ascii="Arial" w:hAnsi="Arial"/>
      <w:color w:val="000000"/>
      <w:sz w:val="19"/>
    </w:rPr>
  </w:style>
  <w:style w:type="paragraph" w:styleId="1">
    <w:name w:val="heading 1"/>
    <w:basedOn w:val="a1"/>
    <w:next w:val="a1"/>
    <w:link w:val="10"/>
    <w:uiPriority w:val="9"/>
    <w:qFormat/>
    <w:pPr>
      <w:keepNext/>
      <w:keepLines/>
      <w:spacing w:before="200"/>
      <w:outlineLvl w:val="0"/>
    </w:pPr>
    <w:rPr>
      <w:rFonts w:asciiTheme="majorHAnsi" w:eastAsiaTheme="majorEastAsia" w:hAnsiTheme="majorHAnsi" w:cstheme="majorBidi"/>
      <w:b/>
      <w:bCs/>
      <w:color w:val="1F4E79"/>
      <w:sz w:val="28"/>
      <w:szCs w:val="28"/>
    </w:rPr>
  </w:style>
  <w:style w:type="paragraph" w:styleId="21">
    <w:name w:val="heading 2"/>
    <w:basedOn w:val="a1"/>
    <w:next w:val="a1"/>
    <w:link w:val="22"/>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pPr>
      <w:tabs>
        <w:tab w:val="center" w:pos="4680"/>
        <w:tab w:val="right" w:pos="9360"/>
      </w:tabs>
      <w:spacing w:after="0" w:line="240" w:lineRule="auto"/>
    </w:pPr>
  </w:style>
  <w:style w:type="character" w:customStyle="1" w:styleId="a6">
    <w:name w:val="Верхний колонтитул Знак"/>
    <w:basedOn w:val="a2"/>
    <w:link w:val="a5"/>
    <w:uiPriority w:val="99"/>
    <w:rPr>
      <w:rFonts w:ascii="Arial" w:hAnsi="Arial"/>
    </w:rPr>
  </w:style>
  <w:style w:type="paragraph" w:styleId="a7">
    <w:name w:val="footer"/>
    <w:basedOn w:val="a1"/>
    <w:link w:val="a8"/>
    <w:uiPriority w:val="99"/>
    <w:unhideWhenUsed/>
    <w:pPr>
      <w:tabs>
        <w:tab w:val="center" w:pos="4680"/>
        <w:tab w:val="right" w:pos="9360"/>
      </w:tabs>
      <w:spacing w:after="0" w:line="240" w:lineRule="auto"/>
    </w:pPr>
  </w:style>
  <w:style w:type="character" w:customStyle="1" w:styleId="a8">
    <w:name w:val="Нижний колонтитул Знак"/>
    <w:basedOn w:val="a2"/>
    <w:link w:val="a7"/>
    <w:uiPriority w:val="99"/>
    <w:rPr>
      <w:rFonts w:ascii="Arial" w:hAnsi="Arial"/>
    </w:rPr>
  </w:style>
  <w:style w:type="paragraph" w:styleId="a9">
    <w:name w:val="No Spacing"/>
    <w:uiPriority w:val="1"/>
    <w:qFormat/>
    <w:pPr>
      <w:spacing w:after="0" w:line="240" w:lineRule="auto"/>
    </w:pPr>
    <w:rPr>
      <w:rFonts w:ascii="Arial" w:hAnsi="Arial"/>
    </w:rPr>
  </w:style>
  <w:style w:type="character" w:customStyle="1" w:styleId="10">
    <w:name w:val="Заголовок 1 Знак"/>
    <w:basedOn w:val="a2"/>
    <w:link w:val="1"/>
    <w:uiPriority w:val="9"/>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42"/>
      <w:szCs w:val="52"/>
    </w:rPr>
  </w:style>
  <w:style w:type="character" w:customStyle="1" w:styleId="ab">
    <w:name w:val="Заголовок Знак"/>
    <w:basedOn w:val="a2"/>
    <w:link w:val="aa"/>
    <w:uiPriority w:val="10"/>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pPr>
      <w:ind w:left="720"/>
      <w:contextualSpacing/>
    </w:pPr>
  </w:style>
  <w:style w:type="paragraph" w:styleId="af">
    <w:name w:val="Body Text"/>
    <w:basedOn w:val="a1"/>
    <w:link w:val="af0"/>
    <w:uiPriority w:val="99"/>
    <w:unhideWhenUsed/>
    <w:pPr>
      <w:spacing w:after="120"/>
    </w:pPr>
  </w:style>
  <w:style w:type="character" w:customStyle="1" w:styleId="af0">
    <w:name w:val="Основной текст Знак"/>
    <w:basedOn w:val="a2"/>
    <w:link w:val="af"/>
    <w:uiPriority w:val="99"/>
    <w:rPr>
      <w:rFonts w:ascii="Arial" w:hAnsi="Arial"/>
    </w:rPr>
  </w:style>
  <w:style w:type="paragraph" w:styleId="23">
    <w:name w:val="Body Text 2"/>
    <w:basedOn w:val="a1"/>
    <w:link w:val="24"/>
    <w:uiPriority w:val="99"/>
    <w:unhideWhenUsed/>
    <w:pPr>
      <w:spacing w:after="120" w:line="480" w:lineRule="auto"/>
    </w:pPr>
  </w:style>
  <w:style w:type="character" w:customStyle="1" w:styleId="24">
    <w:name w:val="Основной текст 2 Знак"/>
    <w:basedOn w:val="a2"/>
    <w:link w:val="23"/>
    <w:uiPriority w:val="99"/>
    <w:rPr>
      <w:rFonts w:ascii="Arial" w:hAnsi="Arial"/>
    </w:rPr>
  </w:style>
  <w:style w:type="paragraph" w:styleId="33">
    <w:name w:val="Body Text 3"/>
    <w:basedOn w:val="a1"/>
    <w:link w:val="34"/>
    <w:uiPriority w:val="99"/>
    <w:unhideWhenUsed/>
    <w:pPr>
      <w:spacing w:after="120"/>
    </w:pPr>
    <w:rPr>
      <w:sz w:val="16"/>
      <w:szCs w:val="16"/>
    </w:rPr>
  </w:style>
  <w:style w:type="character" w:customStyle="1" w:styleId="34">
    <w:name w:val="Основной текст 3 Знак"/>
    <w:basedOn w:val="a2"/>
    <w:link w:val="33"/>
    <w:uiPriority w:val="99"/>
    <w:rPr>
      <w:rFonts w:ascii="Arial" w:hAnsi="Arial"/>
      <w:sz w:val="16"/>
      <w:szCs w:val="16"/>
    </w:rPr>
  </w:style>
  <w:style w:type="paragraph" w:styleId="af1">
    <w:name w:val="List"/>
    <w:basedOn w:val="a1"/>
    <w:uiPriority w:val="99"/>
    <w:unhideWhenUsed/>
    <w:pPr>
      <w:ind w:left="360" w:hanging="360"/>
      <w:contextualSpacing/>
    </w:pPr>
  </w:style>
  <w:style w:type="paragraph" w:styleId="25">
    <w:name w:val="List 2"/>
    <w:basedOn w:val="a1"/>
    <w:uiPriority w:val="99"/>
    <w:unhideWhenUsed/>
    <w:pPr>
      <w:ind w:left="720" w:hanging="360"/>
      <w:contextualSpacing/>
    </w:pPr>
  </w:style>
  <w:style w:type="paragraph" w:styleId="35">
    <w:name w:val="List 3"/>
    <w:basedOn w:val="a1"/>
    <w:uiPriority w:val="99"/>
    <w:unhideWhenUsed/>
    <w:pPr>
      <w:ind w:left="1080" w:hanging="360"/>
      <w:contextualSpacing/>
    </w:pPr>
  </w:style>
  <w:style w:type="paragraph" w:styleId="a0">
    <w:name w:val="List Bullet"/>
    <w:basedOn w:val="a1"/>
    <w:uiPriority w:val="99"/>
    <w:unhideWhenUsed/>
    <w:pPr>
      <w:numPr>
        <w:numId w:val="1"/>
      </w:numPr>
      <w:contextualSpacing/>
    </w:pPr>
  </w:style>
  <w:style w:type="paragraph" w:styleId="20">
    <w:name w:val="List Bullet 2"/>
    <w:basedOn w:val="a1"/>
    <w:uiPriority w:val="99"/>
    <w:unhideWhenUsed/>
    <w:pPr>
      <w:numPr>
        <w:numId w:val="2"/>
      </w:numPr>
      <w:contextualSpacing/>
    </w:pPr>
  </w:style>
  <w:style w:type="paragraph" w:styleId="30">
    <w:name w:val="List Bullet 3"/>
    <w:basedOn w:val="a1"/>
    <w:uiPriority w:val="99"/>
    <w:unhideWhenUsed/>
    <w:pPr>
      <w:numPr>
        <w:numId w:val="3"/>
      </w:numPr>
      <w:contextualSpacing/>
    </w:pPr>
  </w:style>
  <w:style w:type="paragraph" w:styleId="a">
    <w:name w:val="List Number"/>
    <w:basedOn w:val="a1"/>
    <w:uiPriority w:val="99"/>
    <w:unhideWhenUsed/>
    <w:pPr>
      <w:numPr>
        <w:numId w:val="5"/>
      </w:numPr>
      <w:contextualSpacing/>
    </w:pPr>
  </w:style>
  <w:style w:type="paragraph" w:styleId="2">
    <w:name w:val="List Number 2"/>
    <w:basedOn w:val="a1"/>
    <w:uiPriority w:val="99"/>
    <w:unhideWhenUsed/>
    <w:pPr>
      <w:numPr>
        <w:numId w:val="6"/>
      </w:numPr>
      <w:contextualSpacing/>
    </w:pPr>
  </w:style>
  <w:style w:type="paragraph" w:styleId="3">
    <w:name w:val="List Number 3"/>
    <w:basedOn w:val="a1"/>
    <w:uiPriority w:val="99"/>
    <w:unhideWhenUsed/>
    <w:pPr>
      <w:numPr>
        <w:numId w:val="7"/>
      </w:numPr>
      <w:contextualSpacing/>
    </w:pPr>
  </w:style>
  <w:style w:type="paragraph" w:styleId="af2">
    <w:name w:val="List Continue"/>
    <w:basedOn w:val="a1"/>
    <w:uiPriority w:val="99"/>
    <w:unhideWhenUsed/>
    <w:pPr>
      <w:spacing w:after="120"/>
      <w:ind w:left="360"/>
      <w:contextualSpacing/>
    </w:pPr>
  </w:style>
  <w:style w:type="paragraph" w:styleId="26">
    <w:name w:val="List Continue 2"/>
    <w:basedOn w:val="a1"/>
    <w:uiPriority w:val="99"/>
    <w:unhideWhenUsed/>
    <w:pPr>
      <w:spacing w:after="120"/>
      <w:ind w:left="720"/>
      <w:contextualSpacing/>
    </w:pPr>
  </w:style>
  <w:style w:type="paragraph" w:styleId="36">
    <w:name w:val="List Continue 3"/>
    <w:basedOn w:val="a1"/>
    <w:uiPriority w:val="99"/>
    <w:unhideWhenUsed/>
    <w:pPr>
      <w:spacing w:after="120"/>
      <w:ind w:left="1080"/>
      <w:contextualSpacing/>
    </w:pPr>
  </w:style>
  <w:style w:type="paragraph" w:styleId="af3">
    <w:name w:val="macro"/>
    <w:link w:val="af4"/>
    <w:uiPriority w:val="99"/>
    <w:unhideWhenUsed/>
    <w:pPr>
      <w:tabs>
        <w:tab w:val="left" w:pos="576"/>
        <w:tab w:val="left" w:pos="1152"/>
        <w:tab w:val="left" w:pos="1728"/>
        <w:tab w:val="left" w:pos="2304"/>
        <w:tab w:val="left" w:pos="2880"/>
        <w:tab w:val="left" w:pos="3456"/>
        <w:tab w:val="left" w:pos="4032"/>
      </w:tabs>
    </w:pPr>
    <w:rPr>
      <w:rFonts w:ascii="Arial" w:hAnsi="Arial"/>
      <w:sz w:val="20"/>
      <w:szCs w:val="20"/>
    </w:rPr>
  </w:style>
  <w:style w:type="character" w:customStyle="1" w:styleId="af4">
    <w:name w:val="Текст макроса Знак"/>
    <w:basedOn w:val="a2"/>
    <w:link w:val="af3"/>
    <w:uiPriority w:val="99"/>
    <w:rPr>
      <w:rFonts w:ascii="Arial" w:hAnsi="Arial"/>
      <w:sz w:val="20"/>
      <w:szCs w:val="20"/>
    </w:rPr>
  </w:style>
  <w:style w:type="paragraph" w:styleId="27">
    <w:name w:val="Quote"/>
    <w:basedOn w:val="a1"/>
    <w:next w:val="a1"/>
    <w:link w:val="28"/>
    <w:uiPriority w:val="29"/>
    <w:qFormat/>
    <w:rPr>
      <w:i/>
      <w:iCs/>
      <w:color w:val="000000" w:themeColor="text1"/>
    </w:rPr>
  </w:style>
  <w:style w:type="character" w:customStyle="1" w:styleId="28">
    <w:name w:val="Цитата 2 Знак"/>
    <w:basedOn w:val="a2"/>
    <w:link w:val="27"/>
    <w:uiPriority w:val="29"/>
    <w:rPr>
      <w:rFonts w:ascii="Arial" w:hAnsi="Arial"/>
      <w:i/>
      <w:iCs/>
      <w:color w:val="000000" w:themeColor="text1"/>
    </w:rPr>
  </w:style>
  <w:style w:type="character" w:customStyle="1" w:styleId="40">
    <w:name w:val="Заголовок 4 Знак"/>
    <w:basedOn w:val="a2"/>
    <w:link w:val="4"/>
    <w:uiPriority w:val="9"/>
    <w:semiHidden/>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pPr>
      <w:spacing w:line="240" w:lineRule="auto"/>
    </w:pPr>
    <w:rPr>
      <w:b/>
      <w:bCs/>
      <w:color w:val="4F81BD" w:themeColor="accent1"/>
      <w:sz w:val="18"/>
      <w:szCs w:val="18"/>
    </w:rPr>
  </w:style>
  <w:style w:type="character" w:styleId="af6">
    <w:name w:val="Strong"/>
    <w:basedOn w:val="a2"/>
    <w:uiPriority w:val="22"/>
    <w:qFormat/>
    <w:rPr>
      <w:rFonts w:ascii="Arial" w:hAnsi="Arial"/>
      <w:b/>
      <w:bCs/>
    </w:rPr>
  </w:style>
  <w:style w:type="character" w:styleId="af7">
    <w:name w:val="Emphasis"/>
    <w:basedOn w:val="a2"/>
    <w:uiPriority w:val="20"/>
    <w:qFormat/>
    <w:rPr>
      <w:rFonts w:ascii="Arial" w:hAnsi="Arial"/>
      <w:i/>
      <w:iCs/>
    </w:rPr>
  </w:style>
  <w:style w:type="paragraph" w:styleId="af8">
    <w:name w:val="Intense Quote"/>
    <w:basedOn w:val="a1"/>
    <w:next w:val="a1"/>
    <w:link w:val="af9"/>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Pr>
      <w:rFonts w:ascii="Arial" w:hAnsi="Arial"/>
      <w:b/>
      <w:bCs/>
      <w:i/>
      <w:iCs/>
      <w:color w:val="4F81BD" w:themeColor="accent1"/>
    </w:rPr>
  </w:style>
  <w:style w:type="character" w:styleId="afa">
    <w:name w:val="Subtle Emphasis"/>
    <w:basedOn w:val="a2"/>
    <w:uiPriority w:val="19"/>
    <w:qFormat/>
    <w:rPr>
      <w:rFonts w:ascii="Arial" w:hAnsi="Arial"/>
      <w:i/>
      <w:iCs/>
      <w:color w:val="808080" w:themeColor="text1" w:themeTint="7F"/>
    </w:rPr>
  </w:style>
  <w:style w:type="character" w:styleId="afb">
    <w:name w:val="Intense Emphasis"/>
    <w:basedOn w:val="a2"/>
    <w:uiPriority w:val="21"/>
    <w:qFormat/>
    <w:rPr>
      <w:rFonts w:ascii="Arial" w:hAnsi="Arial"/>
      <w:b/>
      <w:bCs/>
      <w:i/>
      <w:iCs/>
      <w:color w:val="4F81BD" w:themeColor="accent1"/>
    </w:rPr>
  </w:style>
  <w:style w:type="character" w:styleId="afc">
    <w:name w:val="Subtle Reference"/>
    <w:basedOn w:val="a2"/>
    <w:uiPriority w:val="31"/>
    <w:qFormat/>
    <w:rPr>
      <w:rFonts w:ascii="Arial" w:hAnsi="Arial"/>
      <w:smallCaps/>
      <w:color w:val="C0504D" w:themeColor="accent2"/>
      <w:u w:val="single"/>
    </w:rPr>
  </w:style>
  <w:style w:type="character" w:styleId="afd">
    <w:name w:val="Intense Reference"/>
    <w:basedOn w:val="a2"/>
    <w:uiPriority w:val="32"/>
    <w:qFormat/>
    <w:rPr>
      <w:rFonts w:ascii="Arial" w:hAnsi="Arial"/>
      <w:b/>
      <w:bCs/>
      <w:smallCaps/>
      <w:color w:val="C0504D" w:themeColor="accent2"/>
      <w:spacing w:val="5"/>
      <w:u w:val="single"/>
    </w:rPr>
  </w:style>
  <w:style w:type="character" w:styleId="afe">
    <w:name w:val="Book Title"/>
    <w:basedOn w:val="a2"/>
    <w:uiPriority w:val="33"/>
    <w:qFormat/>
    <w:rPr>
      <w:rFonts w:ascii="Arial" w:hAnsi="Arial"/>
      <w:b/>
      <w:bCs/>
      <w:smallCaps/>
      <w:spacing w:val="5"/>
    </w:rPr>
  </w:style>
  <w:style w:type="paragraph" w:styleId="aff">
    <w:name w:val="TOC Heading"/>
    <w:basedOn w:val="1"/>
    <w:next w:val="a1"/>
    <w:uiPriority w:val="39"/>
    <w:semiHidden/>
    <w:unhideWhenUsed/>
    <w:qFormat/>
    <w:pPr>
      <w:outlineLvl w:val="9"/>
    </w:pPr>
    <w:rPr>
      <w:rFonts w:ascii="Arial" w:hAnsi="Arial"/>
    </w:rPr>
  </w:style>
  <w:style w:type="table" w:styleId="aff0">
    <w:name w:val="Table Grid"/>
    <w:basedOn w:val="a3"/>
    <w:uiPriority w:val="59"/>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pPr>
      <w:spacing w:after="0" w:line="240" w:lineRule="auto"/>
    </w:pPr>
    <w:rPr>
      <w:rFonts w:ascii="Arial" w:hAnsi="Arial"/>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pPr>
      <w:spacing w:after="0" w:line="240" w:lineRule="auto"/>
    </w:pPr>
    <w:rPr>
      <w:rFonts w:ascii="Arial" w:hAnsi="Arial"/>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pPr>
      <w:spacing w:after="0" w:line="240" w:lineRule="auto"/>
    </w:pPr>
    <w:rPr>
      <w:rFonts w:ascii="Arial" w:hAnsi="Arial"/>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pPr>
      <w:spacing w:after="0" w:line="240" w:lineRule="auto"/>
    </w:pPr>
    <w:rPr>
      <w:rFonts w:ascii="Arial" w:hAnsi="Arial"/>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pPr>
      <w:spacing w:after="0" w:line="240" w:lineRule="auto"/>
    </w:pPr>
    <w:rPr>
      <w:rFonts w:ascii="Arial" w:hAnsi="Arial"/>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pPr>
      <w:spacing w:after="0" w:line="240" w:lineRule="auto"/>
    </w:pPr>
    <w:rPr>
      <w:rFonts w:ascii="Arial" w:hAnsi="Arial"/>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pPr>
      <w:spacing w:after="0" w:line="240" w:lineRule="auto"/>
    </w:pPr>
    <w:rPr>
      <w:rFonts w:ascii="Arial" w:hAnsi="Arial"/>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pPr>
      <w:spacing w:after="0" w:line="240" w:lineRule="auto"/>
    </w:pPr>
    <w:rPr>
      <w:rFonts w:ascii="Arial" w:hAnsi="Ari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pPr>
      <w:spacing w:after="0" w:line="240" w:lineRule="auto"/>
    </w:pPr>
    <w:rPr>
      <w:rFonts w:ascii="Arial" w:hAnsi="Ari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pPr>
      <w:spacing w:after="0" w:line="240" w:lineRule="auto"/>
    </w:pPr>
    <w:rPr>
      <w:rFonts w:ascii="Arial" w:hAnsi="Ari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pPr>
      <w:spacing w:after="0" w:line="240" w:lineRule="auto"/>
    </w:pPr>
    <w:rPr>
      <w:rFonts w:ascii="Arial" w:hAnsi="Ari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pPr>
      <w:spacing w:after="0" w:line="240" w:lineRule="auto"/>
    </w:pPr>
    <w:rPr>
      <w:rFonts w:ascii="Arial" w:hAnsi="Ari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pPr>
      <w:spacing w:after="0" w:line="240" w:lineRule="auto"/>
    </w:pPr>
    <w:rPr>
      <w:rFonts w:ascii="Arial" w:hAnsi="Ari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pPr>
      <w:spacing w:after="0" w:line="240" w:lineRule="auto"/>
    </w:pPr>
    <w:rPr>
      <w:rFonts w:ascii="Arial" w:hAnsi="Ari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pPr>
      <w:spacing w:after="0" w:line="240" w:lineRule="auto"/>
    </w:pPr>
    <w:rPr>
      <w:rFonts w:ascii="Arial" w:hAnsi="Ari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pPr>
      <w:spacing w:after="0" w:line="240" w:lineRule="auto"/>
    </w:pPr>
    <w:rPr>
      <w:rFonts w:ascii="Arial" w:hAnsi="Ari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pPr>
      <w:spacing w:after="0" w:line="240" w:lineRule="auto"/>
    </w:pPr>
    <w:rPr>
      <w:rFonts w:ascii="Arial" w:hAnsi="Ari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pPr>
      <w:spacing w:after="0" w:line="240" w:lineRule="auto"/>
    </w:pPr>
    <w:rPr>
      <w:rFonts w:ascii="Arial" w:hAnsi="Ari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pPr>
      <w:spacing w:after="0" w:line="240" w:lineRule="auto"/>
    </w:pPr>
    <w:rPr>
      <w:rFonts w:ascii="Arial" w:hAnsi="Ari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pPr>
      <w:spacing w:after="0" w:line="240" w:lineRule="auto"/>
    </w:pPr>
    <w:rPr>
      <w:rFonts w:ascii="Arial" w:hAnsi="Ari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pPr>
      <w:spacing w:after="0" w:line="240" w:lineRule="auto"/>
    </w:pPr>
    <w:rPr>
      <w:rFonts w:ascii="Arial" w:hAnsi="Ari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pPr>
      <w:spacing w:after="0" w:line="240" w:lineRule="auto"/>
    </w:pPr>
    <w:rPr>
      <w:rFonts w:ascii="Arial" w:hAnsi="Ari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pPr>
      <w:spacing w:after="0" w:line="240" w:lineRule="auto"/>
    </w:pPr>
    <w:rPr>
      <w:rFonts w:ascii="Arial" w:hAnsi="Aria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pPr>
      <w:spacing w:after="0" w:line="240" w:lineRule="auto"/>
    </w:pPr>
    <w:rPr>
      <w:rFonts w:ascii="Arial" w:hAnsi="Arial"/>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pPr>
      <w:spacing w:after="0" w:line="240" w:lineRule="auto"/>
    </w:pPr>
    <w:rPr>
      <w:rFonts w:ascii="Arial" w:hAnsi="Arial"/>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pPr>
      <w:spacing w:after="0" w:line="240" w:lineRule="auto"/>
    </w:pPr>
    <w:rPr>
      <w:rFonts w:ascii="Arial" w:hAnsi="Arial"/>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pPr>
      <w:spacing w:after="0" w:line="240" w:lineRule="auto"/>
    </w:pPr>
    <w:rPr>
      <w:rFonts w:ascii="Arial" w:hAnsi="Arial"/>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pPr>
      <w:spacing w:after="0" w:line="240" w:lineRule="auto"/>
    </w:pPr>
    <w:rPr>
      <w:rFonts w:ascii="Arial" w:hAnsi="Arial"/>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pPr>
      <w:spacing w:after="0" w:line="240" w:lineRule="auto"/>
    </w:pPr>
    <w:rPr>
      <w:rFonts w:ascii="Arial" w:hAnsi="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pPr>
      <w:spacing w:after="0" w:line="240" w:lineRule="auto"/>
    </w:pPr>
    <w:rPr>
      <w:rFonts w:ascii="Arial" w:hAnsi="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pPr>
      <w:spacing w:after="0" w:line="240" w:lineRule="auto"/>
    </w:pPr>
    <w:rPr>
      <w:rFonts w:ascii="Arial" w:hAnsi="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pPr>
      <w:spacing w:after="0" w:line="240" w:lineRule="auto"/>
    </w:pPr>
    <w:rPr>
      <w:rFonts w:ascii="Arial" w:hAnsi="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pPr>
      <w:spacing w:after="0" w:line="240" w:lineRule="auto"/>
    </w:pPr>
    <w:rPr>
      <w:rFonts w:ascii="Arial" w:hAnsi="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pPr>
      <w:spacing w:after="0" w:line="240" w:lineRule="auto"/>
    </w:pPr>
    <w:rPr>
      <w:rFonts w:ascii="Arial" w:hAnsi="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pPr>
      <w:spacing w:after="0" w:line="240" w:lineRule="auto"/>
    </w:pPr>
    <w:rPr>
      <w:rFonts w:ascii="Arial" w:hAnsi="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pPr>
      <w:spacing w:after="0" w:line="240" w:lineRule="auto"/>
    </w:pPr>
    <w:rPr>
      <w:rFonts w:ascii="Arial" w:hAnsi="Arial"/>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pPr>
      <w:spacing w:after="0" w:line="240" w:lineRule="auto"/>
    </w:pPr>
    <w:rPr>
      <w:rFonts w:ascii="Arial" w:hAnsi="Arial"/>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pPr>
      <w:spacing w:after="0" w:line="240" w:lineRule="auto"/>
    </w:pPr>
    <w:rPr>
      <w:rFonts w:ascii="Arial" w:hAnsi="Arial"/>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pPr>
      <w:spacing w:after="0" w:line="240" w:lineRule="auto"/>
    </w:pPr>
    <w:rPr>
      <w:rFonts w:ascii="Arial" w:hAnsi="Arial"/>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pPr>
      <w:spacing w:after="0" w:line="240" w:lineRule="auto"/>
    </w:pPr>
    <w:rPr>
      <w:rFonts w:ascii="Arial" w:hAnsi="Arial"/>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pPr>
      <w:spacing w:after="0" w:line="240" w:lineRule="auto"/>
    </w:pPr>
    <w:rPr>
      <w:rFonts w:ascii="Arial" w:hAnsi="Arial"/>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pPr>
      <w:spacing w:after="0" w:line="240" w:lineRule="auto"/>
    </w:pPr>
    <w:rPr>
      <w:rFonts w:ascii="Arial" w:hAnsi="Arial"/>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pPr>
      <w:spacing w:after="0" w:line="240" w:lineRule="auto"/>
    </w:pPr>
    <w:rPr>
      <w:rFonts w:ascii="Arial" w:hAnsi="Ari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pPr>
      <w:spacing w:after="0" w:line="240" w:lineRule="auto"/>
    </w:pPr>
    <w:rPr>
      <w:rFonts w:ascii="Arial" w:hAnsi="Aria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pPr>
      <w:spacing w:after="0" w:line="240" w:lineRule="auto"/>
    </w:pPr>
    <w:rPr>
      <w:rFonts w:ascii="Arial" w:hAnsi="Arial"/>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pPr>
      <w:spacing w:after="0" w:line="240" w:lineRule="auto"/>
    </w:pPr>
    <w:rPr>
      <w:rFonts w:ascii="Arial" w:hAnsi="Arial"/>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pPr>
      <w:spacing w:after="0" w:line="240" w:lineRule="auto"/>
    </w:pPr>
    <w:rPr>
      <w:rFonts w:ascii="Arial" w:hAnsi="Arial"/>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pPr>
      <w:spacing w:after="0" w:line="240" w:lineRule="auto"/>
    </w:pPr>
    <w:rPr>
      <w:rFonts w:ascii="Arial" w:hAnsi="Arial"/>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pPr>
      <w:spacing w:after="0" w:line="240" w:lineRule="auto"/>
    </w:pPr>
    <w:rPr>
      <w:rFonts w:ascii="Arial" w:hAnsi="Arial"/>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pPr>
      <w:spacing w:after="0" w:line="240" w:lineRule="auto"/>
    </w:pPr>
    <w:rPr>
      <w:rFonts w:ascii="Arial" w:hAnsi="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pPr>
      <w:spacing w:after="0" w:line="240" w:lineRule="auto"/>
    </w:pPr>
    <w:rPr>
      <w:rFonts w:ascii="Arial" w:hAnsi="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pPr>
      <w:spacing w:after="0" w:line="240" w:lineRule="auto"/>
    </w:pPr>
    <w:rPr>
      <w:rFonts w:ascii="Arial" w:hAnsi="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pPr>
      <w:spacing w:after="0" w:line="240" w:lineRule="auto"/>
    </w:pPr>
    <w:rPr>
      <w:rFonts w:ascii="Arial" w:hAnsi="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pPr>
      <w:spacing w:after="0" w:line="240" w:lineRule="auto"/>
    </w:pPr>
    <w:rPr>
      <w:rFonts w:ascii="Arial" w:hAnsi="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pPr>
      <w:spacing w:after="0" w:line="240" w:lineRule="auto"/>
    </w:pPr>
    <w:rPr>
      <w:rFonts w:ascii="Arial" w:hAnsi="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pPr>
      <w:spacing w:after="0" w:line="240" w:lineRule="auto"/>
    </w:pPr>
    <w:rPr>
      <w:rFonts w:ascii="Arial" w:hAnsi="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pPr>
      <w:spacing w:after="0" w:line="240" w:lineRule="auto"/>
    </w:pPr>
    <w:rPr>
      <w:rFonts w:ascii="Arial" w:hAnsi="Arial"/>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pPr>
      <w:spacing w:after="0" w:line="240" w:lineRule="auto"/>
    </w:pPr>
    <w:rPr>
      <w:rFonts w:ascii="Arial" w:hAnsi="Arial"/>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pPr>
      <w:spacing w:after="0" w:line="240" w:lineRule="auto"/>
    </w:pPr>
    <w:rPr>
      <w:rFonts w:ascii="Arial" w:hAnsi="Arial"/>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pPr>
      <w:spacing w:after="0" w:line="240" w:lineRule="auto"/>
    </w:pPr>
    <w:rPr>
      <w:rFonts w:ascii="Arial" w:hAnsi="Arial"/>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pPr>
      <w:spacing w:after="0" w:line="240" w:lineRule="auto"/>
    </w:pPr>
    <w:rPr>
      <w:rFonts w:ascii="Arial" w:hAnsi="Arial"/>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pPr>
      <w:spacing w:after="0" w:line="240" w:lineRule="auto"/>
    </w:pPr>
    <w:rPr>
      <w:rFonts w:ascii="Arial" w:hAnsi="Arial"/>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pPr>
      <w:spacing w:after="0" w:line="240" w:lineRule="auto"/>
    </w:pPr>
    <w:rPr>
      <w:rFonts w:ascii="Arial" w:hAnsi="Arial"/>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pPr>
      <w:spacing w:after="0" w:line="240" w:lineRule="auto"/>
    </w:pPr>
    <w:rPr>
      <w:rFonts w:ascii="Arial" w:hAnsi="Arial"/>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pPr>
      <w:spacing w:after="0" w:line="240" w:lineRule="auto"/>
    </w:pPr>
    <w:rPr>
      <w:rFonts w:ascii="Arial" w:hAnsi="Arial"/>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pPr>
      <w:spacing w:after="0" w:line="240" w:lineRule="auto"/>
    </w:pPr>
    <w:rPr>
      <w:rFonts w:ascii="Arial" w:hAnsi="Arial"/>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pPr>
      <w:spacing w:after="0" w:line="240" w:lineRule="auto"/>
    </w:pPr>
    <w:rPr>
      <w:rFonts w:ascii="Arial" w:hAnsi="Arial"/>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pPr>
      <w:spacing w:after="0" w:line="240" w:lineRule="auto"/>
    </w:pPr>
    <w:rPr>
      <w:rFonts w:ascii="Arial" w:hAnsi="Arial"/>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pPr>
      <w:spacing w:after="0" w:line="240" w:lineRule="auto"/>
    </w:pPr>
    <w:rPr>
      <w:rFonts w:ascii="Arial" w:hAnsi="Arial"/>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pPr>
      <w:spacing w:after="0" w:line="240" w:lineRule="auto"/>
    </w:pPr>
    <w:rPr>
      <w:rFonts w:ascii="Arial" w:hAnsi="Arial"/>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pPr>
      <w:spacing w:after="0" w:line="240" w:lineRule="auto"/>
    </w:pPr>
    <w:rPr>
      <w:rFonts w:ascii="Arial" w:hAnsi="Arial"/>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pPr>
      <w:spacing w:after="0" w:line="240" w:lineRule="auto"/>
    </w:pPr>
    <w:rPr>
      <w:rFonts w:ascii="Arial" w:hAnsi="Arial"/>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pPr>
      <w:spacing w:after="0" w:line="240" w:lineRule="auto"/>
    </w:pPr>
    <w:rPr>
      <w:rFonts w:ascii="Arial" w:hAnsi="Arial"/>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pPr>
      <w:spacing w:after="0" w:line="240" w:lineRule="auto"/>
    </w:pPr>
    <w:rPr>
      <w:rFonts w:ascii="Arial" w:hAnsi="Arial"/>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pPr>
      <w:spacing w:after="0" w:line="240" w:lineRule="auto"/>
    </w:pPr>
    <w:rPr>
      <w:rFonts w:ascii="Arial" w:hAnsi="Arial"/>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pPr>
      <w:spacing w:after="0" w:line="240" w:lineRule="auto"/>
    </w:pPr>
    <w:rPr>
      <w:rFonts w:ascii="Arial" w:hAnsi="Arial"/>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pPr>
      <w:spacing w:after="0" w:line="240" w:lineRule="auto"/>
    </w:pPr>
    <w:rPr>
      <w:rFonts w:ascii="Arial" w:hAnsi="Arial"/>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pPr>
      <w:spacing w:after="0" w:line="240" w:lineRule="auto"/>
    </w:pPr>
    <w:rPr>
      <w:rFonts w:ascii="Arial" w:hAnsi="Arial"/>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pPr>
      <w:spacing w:after="0" w:line="240" w:lineRule="auto"/>
    </w:pPr>
    <w:rPr>
      <w:rFonts w:ascii="Arial" w:hAnsi="Arial"/>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pPr>
      <w:spacing w:after="0" w:line="240" w:lineRule="auto"/>
    </w:pPr>
    <w:rPr>
      <w:rFonts w:ascii="Arial" w:hAnsi="Arial"/>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pPr>
      <w:spacing w:after="0" w:line="240" w:lineRule="auto"/>
    </w:pPr>
    <w:rPr>
      <w:rFonts w:ascii="Arial" w:hAnsi="Arial"/>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pPr>
      <w:spacing w:after="0" w:line="240" w:lineRule="auto"/>
    </w:pPr>
    <w:rPr>
      <w:rFonts w:ascii="Arial" w:hAnsi="Arial"/>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pPr>
      <w:spacing w:after="0" w:line="240" w:lineRule="auto"/>
    </w:pPr>
    <w:rPr>
      <w:rFonts w:ascii="Arial" w:hAnsi="Arial"/>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pPr>
      <w:spacing w:after="0" w:line="240" w:lineRule="auto"/>
    </w:pPr>
    <w:rPr>
      <w:rFonts w:ascii="Arial" w:hAnsi="Arial"/>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Pages>3</Pages>
  <Words>1000</Words>
  <Characters>5700</Characters>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6687</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category/>
</cp:coreProperties>
</file>